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202</w:t>
      </w:r>
      <w:r>
        <w:rPr>
          <w:rFonts w:hint="eastAsia" w:asciiTheme="minorEastAsia" w:hAnsiTheme="minorEastAsia" w:cstheme="minorEastAsia"/>
          <w:b/>
          <w:bCs/>
          <w:sz w:val="44"/>
          <w:szCs w:val="44"/>
          <w:lang w:val="en-US" w:eastAsia="zh-CN"/>
        </w:rPr>
        <w:t>3</w:t>
      </w:r>
      <w:r>
        <w:rPr>
          <w:rFonts w:hint="eastAsia" w:asciiTheme="minorEastAsia" w:hAnsiTheme="minorEastAsia" w:eastAsiaTheme="minorEastAsia" w:cstheme="minorEastAsia"/>
          <w:b/>
          <w:bCs/>
          <w:sz w:val="44"/>
          <w:szCs w:val="44"/>
          <w:lang w:val="en-US" w:eastAsia="zh-CN"/>
        </w:rPr>
        <w:t>年临河区</w:t>
      </w:r>
      <w:r>
        <w:rPr>
          <w:rFonts w:hint="eastAsia" w:asciiTheme="minorEastAsia" w:hAnsiTheme="minorEastAsia" w:cstheme="minorEastAsia"/>
          <w:b/>
          <w:bCs/>
          <w:sz w:val="44"/>
          <w:szCs w:val="44"/>
          <w:lang w:val="en-US" w:eastAsia="zh-CN"/>
        </w:rPr>
        <w:t>重点</w:t>
      </w:r>
      <w:r>
        <w:rPr>
          <w:rFonts w:hint="eastAsia" w:asciiTheme="minorEastAsia" w:hAnsiTheme="minorEastAsia" w:eastAsiaTheme="minorEastAsia" w:cstheme="minorEastAsia"/>
          <w:b/>
          <w:bCs/>
          <w:sz w:val="44"/>
          <w:szCs w:val="44"/>
          <w:lang w:val="en-US" w:eastAsia="zh-CN"/>
        </w:rPr>
        <w:t>项目库目录</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right="0" w:rightChars="0"/>
        <w:jc w:val="both"/>
        <w:textAlignment w:val="auto"/>
        <w:outlineLvl w:val="9"/>
        <w:rPr>
          <w:rFonts w:hint="eastAsia" w:ascii="仿宋" w:hAnsi="仿宋" w:eastAsia="仿宋" w:cs="仿宋"/>
          <w:color w:val="FF0000"/>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kern w:val="44"/>
          <w:sz w:val="32"/>
          <w:szCs w:val="32"/>
          <w:lang w:val="en-US" w:eastAsia="zh-CN"/>
          <w14:textFill>
            <w14:solidFill>
              <w14:schemeClr w14:val="tx1"/>
            </w14:solidFill>
          </w14:textFill>
        </w:rPr>
      </w:pPr>
      <w:r>
        <w:rPr>
          <w:rFonts w:hint="eastAsia" w:ascii="仿宋" w:hAnsi="仿宋" w:eastAsia="仿宋" w:cs="仿宋"/>
          <w:b w:val="0"/>
          <w:bCs w:val="0"/>
          <w:color w:val="000000" w:themeColor="text1"/>
          <w:kern w:val="44"/>
          <w:sz w:val="32"/>
          <w:szCs w:val="32"/>
          <w:lang w:val="en-US" w:eastAsia="zh-CN"/>
          <w14:textFill>
            <w14:solidFill>
              <w14:schemeClr w14:val="tx1"/>
            </w14:solidFill>
          </w14:textFill>
        </w:rPr>
        <w:t>1.奶业振兴及奶产品</w:t>
      </w:r>
      <w:r>
        <w:rPr>
          <w:rFonts w:hint="eastAsia" w:ascii="仿宋" w:hAnsi="仿宋" w:eastAsia="仿宋" w:cs="仿宋"/>
          <w:b w:val="0"/>
          <w:bCs w:val="0"/>
          <w:color w:val="000000" w:themeColor="text1"/>
          <w:kern w:val="44"/>
          <w:sz w:val="32"/>
          <w:szCs w:val="28"/>
          <w14:textFill>
            <w14:solidFill>
              <w14:schemeClr w14:val="tx1"/>
            </w14:solidFill>
          </w14:textFill>
        </w:rPr>
        <w:t>加工项目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w:t>
      </w:r>
      <w:r>
        <w:rPr>
          <w:rFonts w:hint="eastAsia" w:ascii="仿宋" w:hAnsi="仿宋" w:eastAsia="仿宋" w:cs="仿宋"/>
          <w:b w:val="0"/>
          <w:bCs w:val="0"/>
          <w:color w:val="000000" w:themeColor="text1"/>
          <w:sz w:val="32"/>
          <w:szCs w:val="32"/>
          <w14:textFill>
            <w14:solidFill>
              <w14:schemeClr w14:val="tx1"/>
            </w14:solidFill>
          </w14:textFill>
        </w:rPr>
        <w:t>面粉休闲食品加工项目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w:t>
      </w:r>
      <w:r>
        <w:rPr>
          <w:rFonts w:hint="eastAsia" w:ascii="仿宋" w:hAnsi="仿宋" w:eastAsia="仿宋" w:cs="仿宋"/>
          <w:b w:val="0"/>
          <w:bCs w:val="0"/>
          <w:color w:val="000000" w:themeColor="text1"/>
          <w:sz w:val="32"/>
          <w:szCs w:val="32"/>
          <w14:textFill>
            <w14:solidFill>
              <w14:schemeClr w14:val="tx1"/>
            </w14:solidFill>
          </w14:textFill>
        </w:rPr>
        <w:t>天然有机婴幼儿辅食加工项目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w:t>
      </w:r>
      <w:r>
        <w:rPr>
          <w:rFonts w:hint="eastAsia" w:ascii="仿宋" w:hAnsi="仿宋" w:eastAsia="仿宋" w:cs="仿宋"/>
          <w:b w:val="0"/>
          <w:bCs w:val="0"/>
          <w:color w:val="000000" w:themeColor="text1"/>
          <w:sz w:val="32"/>
          <w:szCs w:val="32"/>
          <w14:textFill>
            <w14:solidFill>
              <w14:schemeClr w14:val="tx1"/>
            </w14:solidFill>
          </w14:textFill>
        </w:rPr>
        <w:t>玉米制异麦芽低聚糖项目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w:t>
      </w:r>
      <w:r>
        <w:rPr>
          <w:rFonts w:hint="eastAsia" w:ascii="仿宋" w:hAnsi="仿宋" w:eastAsia="仿宋" w:cs="仿宋"/>
          <w:b w:val="0"/>
          <w:bCs w:val="0"/>
          <w:color w:val="000000" w:themeColor="text1"/>
          <w:sz w:val="32"/>
          <w:szCs w:val="32"/>
          <w14:textFill>
            <w14:solidFill>
              <w14:schemeClr w14:val="tx1"/>
            </w14:solidFill>
          </w14:textFill>
        </w:rPr>
        <w:t>玉米高筋粉系列食品加工项目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6.</w:t>
      </w:r>
      <w:r>
        <w:rPr>
          <w:rFonts w:hint="eastAsia" w:ascii="仿宋" w:hAnsi="仿宋" w:eastAsia="仿宋" w:cs="仿宋"/>
          <w:b w:val="0"/>
          <w:bCs w:val="0"/>
          <w:color w:val="000000" w:themeColor="text1"/>
          <w:sz w:val="32"/>
          <w:szCs w:val="32"/>
          <w14:textFill>
            <w14:solidFill>
              <w14:schemeClr w14:val="tx1"/>
            </w14:solidFill>
          </w14:textFill>
        </w:rPr>
        <w:t>玉米油加工项目</w:t>
      </w:r>
    </w:p>
    <w:p>
      <w:pPr>
        <w:pStyle w:val="15"/>
        <w:ind w:left="0" w:leftChars="0" w:firstLine="0" w:firstLineChars="0"/>
        <w:rPr>
          <w:rFonts w:hint="eastAsia"/>
          <w:lang w:val="en-US" w:eastAsia="zh-CN"/>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7.玉米饮品生产线项目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8.</w:t>
      </w:r>
      <w:r>
        <w:rPr>
          <w:rFonts w:hint="eastAsia" w:ascii="仿宋" w:hAnsi="仿宋" w:eastAsia="仿宋" w:cs="仿宋"/>
          <w:b w:val="0"/>
          <w:bCs w:val="0"/>
          <w:color w:val="000000" w:themeColor="text1"/>
          <w:sz w:val="32"/>
          <w:szCs w:val="32"/>
          <w14:textFill>
            <w14:solidFill>
              <w14:schemeClr w14:val="tx1"/>
            </w14:solidFill>
          </w14:textFill>
        </w:rPr>
        <w:t>向日葵花粉营养素项目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9.</w:t>
      </w:r>
      <w:r>
        <w:rPr>
          <w:rFonts w:hint="eastAsia" w:ascii="仿宋" w:hAnsi="仿宋" w:eastAsia="仿宋" w:cs="仿宋"/>
          <w:b w:val="0"/>
          <w:bCs w:val="0"/>
          <w:color w:val="000000" w:themeColor="text1"/>
          <w:sz w:val="32"/>
          <w:szCs w:val="32"/>
          <w14:textFill>
            <w14:solidFill>
              <w14:schemeClr w14:val="tx1"/>
            </w14:solidFill>
          </w14:textFill>
        </w:rPr>
        <w:t>葵蛋白提取加工项目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10.葵花露、葵仁饮料生产项目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11.向日葵葵盘、葵杆制取果胶项目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12.</w:t>
      </w:r>
      <w:r>
        <w:rPr>
          <w:rFonts w:hint="eastAsia" w:ascii="仿宋" w:hAnsi="仿宋" w:eastAsia="仿宋" w:cs="仿宋"/>
          <w:b w:val="0"/>
          <w:bCs w:val="0"/>
          <w:color w:val="000000" w:themeColor="text1"/>
          <w:sz w:val="32"/>
          <w:szCs w:val="32"/>
          <w14:textFill>
            <w14:solidFill>
              <w14:schemeClr w14:val="tx1"/>
            </w14:solidFill>
          </w14:textFill>
        </w:rPr>
        <w:t>鲜枸杞复合果汁饮料加工项目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13.年产100吨番茄红素项目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14.苹果梨果汁加工项目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15.</w:t>
      </w:r>
      <w:r>
        <w:rPr>
          <w:rFonts w:hint="eastAsia" w:ascii="仿宋" w:hAnsi="仿宋" w:eastAsia="仿宋" w:cs="仿宋"/>
          <w:b w:val="0"/>
          <w:bCs w:val="0"/>
          <w:color w:val="000000" w:themeColor="text1"/>
          <w:sz w:val="32"/>
          <w:szCs w:val="32"/>
          <w:lang w:eastAsia="zh-CN"/>
          <w14:textFill>
            <w14:solidFill>
              <w14:schemeClr w14:val="tx1"/>
            </w14:solidFill>
          </w14:textFill>
        </w:rPr>
        <w:t>养生保健酒项目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16.果蔬脆片加工项目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17.泡菜加工项目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18.玉米秸秆生物质板材项目</w:t>
      </w:r>
    </w:p>
    <w:p>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19.</w:t>
      </w: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玉米秸秆生产聚乳酸项目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default" w:ascii="仿宋" w:hAnsi="仿宋" w:eastAsia="仿宋" w:cs="仿宋"/>
          <w:b w:val="0"/>
          <w:bCs w:val="0"/>
          <w:color w:val="000000" w:themeColor="text1"/>
          <w:kern w:val="0"/>
          <w:sz w:val="32"/>
          <w:szCs w:val="32"/>
          <w:lang w:val="en-US" w:eastAsia="zh-CN" w:bidi="ar"/>
          <w14:textFill>
            <w14:solidFill>
              <w14:schemeClr w14:val="tx1"/>
            </w14:solidFill>
          </w14:textFill>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20.</w:t>
      </w:r>
      <w:r>
        <w:rPr>
          <w:rFonts w:hint="eastAsia" w:ascii="仿宋" w:hAnsi="仿宋" w:eastAsia="仿宋" w:cs="仿宋"/>
          <w:b w:val="0"/>
          <w:bCs w:val="0"/>
          <w:color w:val="000000" w:themeColor="text1"/>
          <w:sz w:val="32"/>
          <w:szCs w:val="32"/>
          <w:lang w:val="en-US" w:eastAsia="zh-CN"/>
          <w14:textFill>
            <w14:solidFill>
              <w14:schemeClr w14:val="tx1"/>
            </w14:solidFill>
          </w14:textFill>
        </w:rPr>
        <w:t>年产10000吨玉米变性淀粉项目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21.辣椒碱深加工及贸易项目</w:t>
      </w:r>
    </w:p>
    <w:p>
      <w:pPr>
        <w:pStyle w:val="15"/>
        <w:ind w:left="0" w:leftChars="0" w:firstLine="0" w:firstLineChars="0"/>
        <w:rPr>
          <w:rFonts w:hint="default"/>
          <w:lang w:val="en-US" w:eastAsia="zh-CN"/>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22.低盐风味酱腌菜开发项目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23.羊皮</w:t>
      </w:r>
      <w:r>
        <w:rPr>
          <w:rFonts w:hint="eastAsia" w:ascii="仿宋" w:hAnsi="仿宋" w:eastAsia="仿宋" w:cs="仿宋"/>
          <w:b w:val="0"/>
          <w:bCs w:val="0"/>
          <w:color w:val="000000" w:themeColor="text1"/>
          <w:sz w:val="32"/>
          <w:szCs w:val="32"/>
          <w14:textFill>
            <w14:solidFill>
              <w14:schemeClr w14:val="tx1"/>
            </w14:solidFill>
          </w14:textFill>
        </w:rPr>
        <w:t>及</w:t>
      </w:r>
      <w:r>
        <w:rPr>
          <w:rFonts w:hint="eastAsia" w:ascii="仿宋" w:hAnsi="仿宋" w:eastAsia="仿宋" w:cs="仿宋"/>
          <w:b w:val="0"/>
          <w:bCs w:val="0"/>
          <w:color w:val="000000" w:themeColor="text1"/>
          <w:sz w:val="32"/>
          <w:szCs w:val="32"/>
          <w:lang w:val="en-US" w:eastAsia="zh-CN"/>
          <w14:textFill>
            <w14:solidFill>
              <w14:schemeClr w14:val="tx1"/>
            </w14:solidFill>
          </w14:textFill>
        </w:rPr>
        <w:t>肉羊</w:t>
      </w:r>
      <w:r>
        <w:rPr>
          <w:rFonts w:hint="eastAsia" w:ascii="仿宋" w:hAnsi="仿宋" w:eastAsia="仿宋" w:cs="仿宋"/>
          <w:b w:val="0"/>
          <w:bCs w:val="0"/>
          <w:color w:val="000000" w:themeColor="text1"/>
          <w:sz w:val="32"/>
          <w:szCs w:val="32"/>
          <w14:textFill>
            <w14:solidFill>
              <w14:schemeClr w14:val="tx1"/>
            </w14:solidFill>
          </w14:textFill>
        </w:rPr>
        <w:t>副产品</w:t>
      </w:r>
      <w:r>
        <w:rPr>
          <w:rFonts w:hint="eastAsia" w:ascii="仿宋" w:hAnsi="仿宋" w:eastAsia="仿宋" w:cs="仿宋"/>
          <w:b w:val="0"/>
          <w:bCs w:val="0"/>
          <w:color w:val="000000" w:themeColor="text1"/>
          <w:sz w:val="32"/>
          <w:szCs w:val="32"/>
          <w:lang w:val="en-US" w:eastAsia="zh-CN"/>
          <w14:textFill>
            <w14:solidFill>
              <w14:schemeClr w14:val="tx1"/>
            </w14:solidFill>
          </w14:textFill>
        </w:rPr>
        <w:t>加工</w:t>
      </w:r>
      <w:r>
        <w:rPr>
          <w:rFonts w:hint="eastAsia" w:ascii="仿宋" w:hAnsi="仿宋" w:eastAsia="仿宋" w:cs="仿宋"/>
          <w:b w:val="0"/>
          <w:bCs w:val="0"/>
          <w:color w:val="000000" w:themeColor="text1"/>
          <w:sz w:val="32"/>
          <w:szCs w:val="32"/>
          <w14:textFill>
            <w14:solidFill>
              <w14:schemeClr w14:val="tx1"/>
            </w14:solidFill>
          </w14:textFill>
        </w:rPr>
        <w:t>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24.年产6000吨骨明胶及磷酸氢钙项目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25.肠衣深加工及生化药物原料提取项目</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26.</w:t>
      </w:r>
      <w:r>
        <w:rPr>
          <w:rFonts w:hint="eastAsia" w:ascii="仿宋" w:hAnsi="仿宋" w:eastAsia="仿宋" w:cs="仿宋"/>
          <w:b w:val="0"/>
          <w:bCs w:val="0"/>
          <w:color w:val="000000" w:themeColor="text1"/>
          <w:sz w:val="32"/>
          <w:szCs w:val="32"/>
          <w14:textFill>
            <w14:solidFill>
              <w14:schemeClr w14:val="tx1"/>
            </w14:solidFill>
          </w14:textFill>
        </w:rPr>
        <w:t>羊胎盘</w:t>
      </w:r>
      <w:r>
        <w:rPr>
          <w:rFonts w:hint="eastAsia" w:ascii="仿宋" w:hAnsi="仿宋" w:eastAsia="仿宋" w:cs="仿宋"/>
          <w:b w:val="0"/>
          <w:bCs w:val="0"/>
          <w:color w:val="000000" w:themeColor="text1"/>
          <w:sz w:val="32"/>
          <w:szCs w:val="32"/>
          <w:lang w:val="en-US" w:eastAsia="zh-CN"/>
          <w14:textFill>
            <w14:solidFill>
              <w14:schemeClr w14:val="tx1"/>
            </w14:solidFill>
          </w14:textFill>
        </w:rPr>
        <w:t>深</w:t>
      </w:r>
      <w:r>
        <w:rPr>
          <w:rFonts w:hint="eastAsia" w:ascii="仿宋" w:hAnsi="仿宋" w:eastAsia="仿宋" w:cs="仿宋"/>
          <w:b w:val="0"/>
          <w:bCs w:val="0"/>
          <w:color w:val="000000" w:themeColor="text1"/>
          <w:sz w:val="32"/>
          <w:szCs w:val="32"/>
          <w14:textFill>
            <w14:solidFill>
              <w14:schemeClr w14:val="tx1"/>
            </w14:solidFill>
          </w14:textFill>
        </w:rPr>
        <w:t>加工项目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default" w:eastAsia="仿宋"/>
          <w:color w:val="000000" w:themeColor="text1"/>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27.动物</w:t>
      </w:r>
      <w:r>
        <w:rPr>
          <w:rFonts w:hint="eastAsia" w:ascii="仿宋" w:hAnsi="仿宋" w:eastAsia="仿宋" w:cs="仿宋"/>
          <w:b w:val="0"/>
          <w:bCs w:val="0"/>
          <w:color w:val="000000" w:themeColor="text1"/>
          <w:sz w:val="32"/>
          <w:szCs w:val="32"/>
          <w14:textFill>
            <w14:solidFill>
              <w14:schemeClr w14:val="tx1"/>
            </w14:solidFill>
          </w14:textFill>
        </w:rPr>
        <w:t>血红素</w:t>
      </w:r>
      <w:r>
        <w:rPr>
          <w:rFonts w:hint="eastAsia" w:ascii="仿宋" w:hAnsi="仿宋" w:eastAsia="仿宋" w:cs="仿宋"/>
          <w:b w:val="0"/>
          <w:bCs w:val="0"/>
          <w:color w:val="000000" w:themeColor="text1"/>
          <w:sz w:val="32"/>
          <w:szCs w:val="32"/>
          <w:lang w:val="en-US" w:eastAsia="zh-CN"/>
          <w14:textFill>
            <w14:solidFill>
              <w14:schemeClr w14:val="tx1"/>
            </w14:solidFill>
          </w14:textFill>
        </w:rPr>
        <w:t>提取</w:t>
      </w:r>
      <w:r>
        <w:rPr>
          <w:rFonts w:hint="eastAsia" w:ascii="仿宋" w:hAnsi="仿宋" w:eastAsia="仿宋" w:cs="仿宋"/>
          <w:b w:val="0"/>
          <w:bCs w:val="0"/>
          <w:color w:val="000000" w:themeColor="text1"/>
          <w:sz w:val="32"/>
          <w:szCs w:val="32"/>
          <w14:textFill>
            <w14:solidFill>
              <w14:schemeClr w14:val="tx1"/>
            </w14:solidFill>
          </w14:textFill>
        </w:rPr>
        <w:t>项目</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28.</w:t>
      </w:r>
      <w:r>
        <w:rPr>
          <w:rFonts w:hint="eastAsia" w:ascii="仿宋" w:hAnsi="仿宋" w:eastAsia="仿宋" w:cs="仿宋"/>
          <w:b w:val="0"/>
          <w:bCs w:val="0"/>
          <w:color w:val="000000" w:themeColor="text1"/>
          <w:sz w:val="32"/>
          <w:szCs w:val="32"/>
          <w14:textFill>
            <w14:solidFill>
              <w14:schemeClr w14:val="tx1"/>
            </w14:solidFill>
          </w14:textFill>
        </w:rPr>
        <w:t>无污染皮革项目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29.年产2万吨生物农药项目</w:t>
      </w:r>
    </w:p>
    <w:p>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30.羊、猪、牛口蹄疫、布氏杆菌疫苗项目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31.</w:t>
      </w:r>
      <w:r>
        <w:rPr>
          <w:rFonts w:hint="eastAsia" w:ascii="仿宋" w:hAnsi="仿宋" w:eastAsia="仿宋" w:cs="仿宋"/>
          <w:b w:val="0"/>
          <w:bCs w:val="0"/>
          <w:color w:val="000000" w:themeColor="text1"/>
          <w:sz w:val="32"/>
          <w:szCs w:val="32"/>
          <w14:textFill>
            <w14:solidFill>
              <w14:schemeClr w14:val="tx1"/>
            </w14:solidFill>
          </w14:textFill>
        </w:rPr>
        <w:t>粉煤灰制砖项目</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32.</w:t>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高档彩印纸箱及制罐包装项目 </w:t>
      </w: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33.太阳能电池片、电池组件项目</w:t>
      </w: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34.光伏背板及支架项目</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35.风机叶片及塔架项目</w:t>
      </w: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36.风电塔筒法兰项目</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37.石墨烯三元正极材料项目</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38.锂离子电池项目</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39.石墨烯芯片项目</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40.农机制造项目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41.工业固废综合利用项目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42.</w:t>
      </w:r>
      <w:r>
        <w:rPr>
          <w:rFonts w:hint="eastAsia" w:ascii="仿宋" w:hAnsi="仿宋" w:eastAsia="仿宋" w:cs="仿宋"/>
          <w:b w:val="0"/>
          <w:bCs w:val="0"/>
          <w:color w:val="000000" w:themeColor="text1"/>
          <w:sz w:val="32"/>
          <w:szCs w:val="32"/>
          <w14:textFill>
            <w14:solidFill>
              <w14:schemeClr w14:val="tx1"/>
            </w14:solidFill>
          </w14:textFill>
        </w:rPr>
        <w:t>新型低碳可降解塑料包装袋</w:t>
      </w:r>
    </w:p>
    <w:p>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pPr>
      <w:r>
        <w:rPr>
          <w:rFonts w:hint="eastAsia" w:ascii="仿宋" w:hAnsi="仿宋" w:eastAsia="仿宋" w:cs="仿宋"/>
          <w:b w:val="0"/>
          <w:bCs w:val="0"/>
          <w:color w:val="000000" w:themeColor="text1"/>
          <w:kern w:val="0"/>
          <w:sz w:val="32"/>
          <w:szCs w:val="32"/>
          <w:lang w:val="en-US" w:eastAsia="zh-CN" w:bidi="ar"/>
          <w14:textFill>
            <w14:solidFill>
              <w14:schemeClr w14:val="tx1"/>
            </w14:solidFill>
          </w14:textFill>
        </w:rPr>
        <w:t>43.生物柴油生产科技项目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44.装配式建筑材料项目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color w:val="000000" w:themeColor="text1"/>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45.新能源换电农机装备制造项目</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0" w:firstLineChars="0"/>
        <w:jc w:val="lef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46.船舶和航空燃油提炼项目</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bCs w:val="0"/>
          <w:color w:val="000000" w:themeColor="text1"/>
          <w:kern w:val="44"/>
          <w:sz w:val="44"/>
          <w:szCs w:val="44"/>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47.</w:t>
      </w:r>
      <w:r>
        <w:rPr>
          <w:rFonts w:hint="default" w:ascii="仿宋" w:hAnsi="仿宋" w:eastAsia="仿宋" w:cs="仿宋"/>
          <w:b w:val="0"/>
          <w:bCs w:val="0"/>
          <w:color w:val="000000" w:themeColor="text1"/>
          <w:sz w:val="32"/>
          <w:szCs w:val="32"/>
          <w:lang w:val="en-US" w:eastAsia="zh-CN"/>
          <w14:textFill>
            <w14:solidFill>
              <w14:schemeClr w14:val="tx1"/>
            </w14:solidFill>
          </w14:textFill>
        </w:rPr>
        <w:t>氢能装备制造项目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48.</w:t>
      </w:r>
      <w:r>
        <w:rPr>
          <w:rFonts w:hint="eastAsia" w:ascii="仿宋" w:hAnsi="仿宋" w:eastAsia="仿宋" w:cs="仿宋"/>
          <w:b w:val="0"/>
          <w:bCs w:val="0"/>
          <w:color w:val="000000" w:themeColor="text1"/>
          <w:sz w:val="32"/>
          <w:szCs w:val="32"/>
          <w14:textFill>
            <w14:solidFill>
              <w14:schemeClr w14:val="tx1"/>
            </w14:solidFill>
          </w14:textFill>
        </w:rPr>
        <w:t>黄河全流域文化博览苑项目</w:t>
      </w:r>
    </w:p>
    <w:p>
      <w:pPr>
        <w:pStyle w:val="15"/>
        <w:keepNext w:val="0"/>
        <w:keepLines w:val="0"/>
        <w:pageBreakBefore w:val="0"/>
        <w:kinsoku/>
        <w:wordWrap/>
        <w:overflowPunct/>
        <w:topLinePunct w:val="0"/>
        <w:autoSpaceDE/>
        <w:autoSpaceDN/>
        <w:bidi w:val="0"/>
        <w:adjustRightInd/>
        <w:snapToGrid/>
        <w:spacing w:line="600" w:lineRule="exact"/>
        <w:ind w:firstLine="0" w:firstLineChars="0"/>
        <w:textAlignment w:val="auto"/>
        <w:rPr>
          <w:rFonts w:hint="default"/>
          <w:color w:val="000000" w:themeColor="text1"/>
          <w:lang w:val="en-US"/>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49.章嘉庙湖智能医疗康养产业园项目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50.</w:t>
      </w:r>
      <w:r>
        <w:rPr>
          <w:rFonts w:hint="eastAsia" w:ascii="仿宋" w:hAnsi="仿宋" w:eastAsia="仿宋" w:cs="仿宋"/>
          <w:b w:val="0"/>
          <w:bCs w:val="0"/>
          <w:color w:val="000000" w:themeColor="text1"/>
          <w:sz w:val="32"/>
          <w:szCs w:val="32"/>
          <w14:textFill>
            <w14:solidFill>
              <w14:schemeClr w14:val="tx1"/>
            </w14:solidFill>
          </w14:textFill>
        </w:rPr>
        <w:t>医养结合康养社区项目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51.北边区开发及改造项目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jc w:val="both"/>
        <w:textAlignment w:val="auto"/>
        <w:outlineLvl w:val="9"/>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52.镜湖旅游康养项目</w:t>
      </w:r>
    </w:p>
    <w:p>
      <w:pPr>
        <w:pStyle w:val="15"/>
        <w:keepNext w:val="0"/>
        <w:keepLines w:val="0"/>
        <w:pageBreakBefore w:val="0"/>
        <w:kinsoku/>
        <w:wordWrap/>
        <w:overflowPunct/>
        <w:topLinePunct w:val="0"/>
        <w:autoSpaceDE/>
        <w:autoSpaceDN/>
        <w:bidi w:val="0"/>
        <w:adjustRightInd/>
        <w:snapToGrid/>
        <w:spacing w:line="600" w:lineRule="exact"/>
        <w:ind w:firstLine="0" w:firstLine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53.冰雪运动旅游文化开发项目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54.源网荷储一体化项目</w:t>
      </w:r>
    </w:p>
    <w:p>
      <w:pPr>
        <w:pStyle w:val="15"/>
        <w:keepNext w:val="0"/>
        <w:keepLines w:val="0"/>
        <w:pageBreakBefore w:val="0"/>
        <w:kinsoku/>
        <w:wordWrap/>
        <w:overflowPunct/>
        <w:topLinePunct w:val="0"/>
        <w:autoSpaceDE/>
        <w:autoSpaceDN/>
        <w:bidi w:val="0"/>
        <w:adjustRightInd/>
        <w:snapToGrid/>
        <w:spacing w:line="600" w:lineRule="exact"/>
        <w:ind w:firstLine="0" w:firstLine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55.</w:t>
      </w:r>
      <w:r>
        <w:rPr>
          <w:rFonts w:hint="eastAsia" w:ascii="仿宋" w:hAnsi="仿宋" w:eastAsia="仿宋" w:cs="仿宋"/>
          <w:b w:val="0"/>
          <w:bCs w:val="0"/>
          <w:color w:val="000000" w:themeColor="text1"/>
          <w:sz w:val="32"/>
          <w:szCs w:val="32"/>
          <w14:textFill>
            <w14:solidFill>
              <w14:schemeClr w14:val="tx1"/>
            </w14:solidFill>
          </w14:textFill>
        </w:rPr>
        <w:t>创业投资引导基金项目</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56.</w:t>
      </w:r>
      <w:r>
        <w:rPr>
          <w:rFonts w:hint="eastAsia" w:ascii="仿宋" w:hAnsi="仿宋" w:eastAsia="仿宋" w:cs="仿宋"/>
          <w:b w:val="0"/>
          <w:bCs w:val="0"/>
          <w:color w:val="000000" w:themeColor="text1"/>
          <w:sz w:val="32"/>
          <w:szCs w:val="32"/>
          <w14:textFill>
            <w14:solidFill>
              <w14:schemeClr w14:val="tx1"/>
            </w14:solidFill>
          </w14:textFill>
        </w:rPr>
        <w:t>新型农畜产品物流园区</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对蒙开</w:t>
      </w:r>
      <w:r>
        <w:rPr>
          <w:rFonts w:hint="eastAsia" w:ascii="仿宋" w:hAnsi="仿宋" w:eastAsia="仿宋" w:cs="仿宋"/>
          <w:b w:val="0"/>
          <w:bCs w:val="0"/>
          <w:color w:val="000000" w:themeColor="text1"/>
          <w:sz w:val="32"/>
          <w:szCs w:val="32"/>
          <w:lang w:val="en-US" w:eastAsia="zh-CN"/>
          <w14:textFill>
            <w14:solidFill>
              <w14:schemeClr w14:val="tx1"/>
            </w14:solidFill>
          </w14:textFill>
        </w:rPr>
        <w:t>放型）项目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57.铁路物流基地项目</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58.酸枣种植加工光伏一体化</w:t>
      </w:r>
      <w:r>
        <w:rPr>
          <w:rFonts w:hint="eastAsia" w:ascii="仿宋" w:hAnsi="仿宋" w:eastAsia="仿宋" w:cs="仿宋"/>
          <w:color w:val="000000" w:themeColor="text1"/>
          <w:sz w:val="32"/>
          <w:szCs w:val="32"/>
          <w14:textFill>
            <w14:solidFill>
              <w14:schemeClr w14:val="tx1"/>
            </w14:solidFill>
          </w14:textFill>
        </w:rPr>
        <w:t>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59</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智慧农业项目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60.中药材种植项目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61.</w:t>
      </w:r>
      <w:r>
        <w:rPr>
          <w:rFonts w:hint="eastAsia" w:ascii="仿宋" w:hAnsi="仿宋" w:eastAsia="仿宋" w:cs="仿宋"/>
          <w:b w:val="0"/>
          <w:bCs w:val="0"/>
          <w:sz w:val="32"/>
          <w:szCs w:val="32"/>
          <w:lang w:val="en-US" w:eastAsia="zh-CN"/>
        </w:rPr>
        <w:t>中药保健品项目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62.预制菜生产加工项目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b w:val="0"/>
          <w:bCs w:val="0"/>
          <w:sz w:val="32"/>
          <w:szCs w:val="32"/>
          <w:lang w:val="en-US" w:eastAsia="zh-CN"/>
        </w:rPr>
      </w:pPr>
      <w:r>
        <w:rPr>
          <w:rFonts w:hint="eastAsia" w:ascii="仿宋" w:hAnsi="仿宋" w:eastAsia="仿宋" w:cs="仿宋"/>
          <w:b w:val="0"/>
          <w:bCs w:val="0"/>
          <w:sz w:val="32"/>
          <w:szCs w:val="32"/>
          <w:lang w:val="en-US" w:eastAsia="zh-CN"/>
        </w:rPr>
        <w:t>63.</w:t>
      </w:r>
      <w:r>
        <w:rPr>
          <w:rFonts w:hint="eastAsia" w:ascii="仿宋_GB2312" w:hAnsi="仿宋_GB2312" w:eastAsia="仿宋_GB2312" w:cs="仿宋_GB2312"/>
          <w:b w:val="0"/>
          <w:bCs w:val="0"/>
          <w:sz w:val="32"/>
          <w:szCs w:val="32"/>
        </w:rPr>
        <w:t>乡村振兴产业发展及运营</w:t>
      </w:r>
      <w:r>
        <w:rPr>
          <w:rFonts w:hint="eastAsia" w:ascii="仿宋_GB2312" w:hAnsi="仿宋_GB2312" w:eastAsia="仿宋_GB2312" w:cs="仿宋_GB2312"/>
          <w:b w:val="0"/>
          <w:bCs w:val="0"/>
          <w:sz w:val="32"/>
          <w:szCs w:val="32"/>
          <w:lang w:val="en-US" w:eastAsia="zh-CN"/>
        </w:rPr>
        <w:t>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64.数字城市项目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65.南瓜籽产业园项目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66.国家大学科创园项目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67.面源污染治理项目</w:t>
      </w:r>
    </w:p>
    <w:p>
      <w:pPr>
        <w:pStyle w:val="15"/>
        <w:keepNext w:val="0"/>
        <w:keepLines w:val="0"/>
        <w:pageBreakBefore w:val="0"/>
        <w:kinsoku/>
        <w:wordWrap/>
        <w:overflowPunct/>
        <w:topLinePunct w:val="0"/>
        <w:autoSpaceDE/>
        <w:autoSpaceDN/>
        <w:bidi w:val="0"/>
        <w:adjustRightInd/>
        <w:snapToGrid/>
        <w:spacing w:line="600" w:lineRule="exact"/>
        <w:ind w:left="0" w:leftChars="0" w:firstLine="0" w:firstLineChars="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68.向日葵产销加工一体化产业示范园项目</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44"/>
          <w:sz w:val="32"/>
          <w:szCs w:val="32"/>
          <w:lang w:val="en-US" w:eastAsia="zh-CN"/>
        </w:rPr>
        <w:t>69.</w:t>
      </w:r>
      <w:r>
        <w:rPr>
          <w:rFonts w:hint="eastAsia" w:ascii="仿宋_GB2312" w:hAnsi="仿宋_GB2312" w:eastAsia="仿宋_GB2312" w:cs="仿宋_GB2312"/>
          <w:b w:val="0"/>
          <w:bCs w:val="0"/>
          <w:sz w:val="32"/>
          <w:szCs w:val="32"/>
          <w:lang w:eastAsia="zh-CN"/>
        </w:rPr>
        <w:t>可降解</w:t>
      </w:r>
      <w:r>
        <w:rPr>
          <w:rFonts w:hint="eastAsia" w:ascii="仿宋_GB2312" w:hAnsi="仿宋_GB2312" w:eastAsia="仿宋_GB2312" w:cs="仿宋_GB2312"/>
          <w:b w:val="0"/>
          <w:bCs w:val="0"/>
          <w:sz w:val="32"/>
          <w:szCs w:val="32"/>
          <w:lang w:val="en-US" w:eastAsia="zh-CN"/>
        </w:rPr>
        <w:t>生物地膜</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val="0"/>
          <w:sz w:val="32"/>
          <w:szCs w:val="32"/>
          <w:lang w:val="en-US" w:eastAsia="zh-CN"/>
        </w:rPr>
        <w:t>70.</w:t>
      </w:r>
      <w:r>
        <w:rPr>
          <w:rFonts w:hint="eastAsia" w:ascii="仿宋_GB2312" w:hAnsi="仿宋_GB2312" w:eastAsia="仿宋_GB2312" w:cs="仿宋_GB2312"/>
          <w:b w:val="0"/>
          <w:bCs/>
          <w:sz w:val="32"/>
          <w:szCs w:val="32"/>
        </w:rPr>
        <w:t>空气储能及区域整体提升</w:t>
      </w:r>
      <w:r>
        <w:rPr>
          <w:rFonts w:hint="eastAsia" w:ascii="仿宋_GB2312" w:hAnsi="仿宋_GB2312" w:eastAsia="仿宋_GB2312" w:cs="仿宋_GB2312"/>
          <w:b w:val="0"/>
          <w:bCs/>
          <w:sz w:val="32"/>
          <w:szCs w:val="32"/>
          <w:lang w:val="en-US" w:eastAsia="zh-CN"/>
        </w:rPr>
        <w:t>项目</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71.重卡新能源换电项目</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default"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 w:hAnsi="仿宋" w:eastAsia="仿宋" w:cs="仿宋"/>
          <w:b/>
          <w:bCs/>
          <w:sz w:val="44"/>
          <w:szCs w:val="44"/>
        </w:rPr>
      </w:pPr>
      <w:r>
        <w:rPr>
          <w:rFonts w:hint="eastAsia" w:ascii="Times New Roman" w:hAnsi="Times New Roman"/>
          <w:b/>
          <w:bCs/>
          <w:kern w:val="44"/>
          <w:sz w:val="44"/>
          <w:szCs w:val="44"/>
          <w:lang w:val="en-US" w:eastAsia="zh-CN"/>
        </w:rPr>
        <w:t>奶业振兴及</w:t>
      </w:r>
      <w:r>
        <w:rPr>
          <w:rFonts w:hint="eastAsia" w:ascii="Times New Roman" w:hAnsi="Times New Roman"/>
          <w:b/>
          <w:bCs/>
          <w:kern w:val="44"/>
          <w:sz w:val="44"/>
          <w:szCs w:val="44"/>
        </w:rPr>
        <w:t>奶</w:t>
      </w:r>
      <w:r>
        <w:rPr>
          <w:rFonts w:hint="eastAsia" w:ascii="Times New Roman" w:hAnsi="Times New Roman"/>
          <w:b/>
          <w:bCs/>
          <w:kern w:val="44"/>
          <w:sz w:val="44"/>
          <w:szCs w:val="44"/>
          <w:lang w:val="en-US" w:eastAsia="zh-CN"/>
        </w:rPr>
        <w:t>品深</w:t>
      </w:r>
      <w:r>
        <w:rPr>
          <w:rFonts w:hint="eastAsia" w:ascii="Times New Roman" w:hAnsi="Times New Roman"/>
          <w:b/>
          <w:bCs/>
          <w:kern w:val="44"/>
          <w:sz w:val="44"/>
          <w:szCs w:val="44"/>
        </w:rPr>
        <w:t>加工项目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随着奶业振兴的发展，</w:t>
      </w:r>
      <w:r>
        <w:rPr>
          <w:rFonts w:hint="eastAsia" w:ascii="仿宋" w:hAnsi="仿宋" w:eastAsia="仿宋" w:cs="仿宋"/>
          <w:i w:val="0"/>
          <w:iCs w:val="0"/>
          <w:caps w:val="0"/>
          <w:spacing w:val="0"/>
          <w:sz w:val="32"/>
          <w:szCs w:val="32"/>
          <w:shd w:val="clear" w:fill="FFFFFF"/>
        </w:rPr>
        <w:t>牛奶是最古老的天然饮料之一，被誉为“白色血液”，对人体的重要性可想而知。</w:t>
      </w:r>
      <w:r>
        <w:rPr>
          <w:rFonts w:hint="eastAsia" w:ascii="仿宋" w:hAnsi="仿宋" w:eastAsia="仿宋" w:cs="仿宋"/>
          <w:sz w:val="32"/>
          <w:szCs w:val="32"/>
        </w:rPr>
        <w:t>奶中的蛋白质主要是酪蛋白、白蛋白、球蛋白、乳蛋白等，所含的20多种氨基酸中有人体必须的8种氨基酸，奶蛋白质是全价的蛋白质，它的消化率高达98%。</w:t>
      </w:r>
      <w:r>
        <w:rPr>
          <w:rFonts w:hint="eastAsia" w:ascii="仿宋" w:hAnsi="仿宋" w:eastAsia="仿宋" w:cs="仿宋"/>
          <w:sz w:val="32"/>
          <w:szCs w:val="32"/>
          <w:lang w:val="en-US" w:eastAsia="zh-CN"/>
        </w:rPr>
        <w:t>其中：</w:t>
      </w:r>
      <w:r>
        <w:rPr>
          <w:rFonts w:hint="eastAsia" w:ascii="仿宋" w:hAnsi="仿宋" w:eastAsia="仿宋" w:cs="仿宋"/>
          <w:sz w:val="32"/>
          <w:szCs w:val="32"/>
        </w:rPr>
        <w:t>乳脂肪是高质量的脂肪，它的消化率在95%以上，而且含有大量的脂溶性维生素</w:t>
      </w:r>
      <w:r>
        <w:rPr>
          <w:rFonts w:hint="eastAsia" w:ascii="仿宋" w:hAnsi="仿宋" w:eastAsia="仿宋" w:cs="仿宋"/>
          <w:sz w:val="32"/>
          <w:szCs w:val="32"/>
          <w:lang w:eastAsia="zh-CN"/>
        </w:rPr>
        <w:t>；</w:t>
      </w:r>
      <w:r>
        <w:rPr>
          <w:rFonts w:hint="eastAsia" w:ascii="仿宋" w:hAnsi="仿宋" w:eastAsia="仿宋" w:cs="仿宋"/>
          <w:sz w:val="32"/>
          <w:szCs w:val="32"/>
        </w:rPr>
        <w:t>奶中的乳糖是半乳糖和乳糖，是最容易消化吸收的糖类</w:t>
      </w:r>
      <w:r>
        <w:rPr>
          <w:rFonts w:hint="eastAsia" w:ascii="仿宋" w:hAnsi="仿宋" w:eastAsia="仿宋" w:cs="仿宋"/>
          <w:sz w:val="32"/>
          <w:szCs w:val="32"/>
          <w:lang w:eastAsia="zh-CN"/>
        </w:rPr>
        <w:t>；</w:t>
      </w:r>
      <w:r>
        <w:rPr>
          <w:rFonts w:hint="eastAsia" w:ascii="仿宋" w:hAnsi="仿宋" w:eastAsia="仿宋" w:cs="仿宋"/>
          <w:sz w:val="32"/>
          <w:szCs w:val="32"/>
        </w:rPr>
        <w:t>奶中的矿物质和微量元素都是溶解状态，而且各种矿物质的含量比例，特别是钙、磷的比例比较合适，很容易消化吸收。</w:t>
      </w:r>
      <w:r>
        <w:rPr>
          <w:rFonts w:hint="eastAsia" w:ascii="仿宋" w:hAnsi="仿宋" w:eastAsia="仿宋" w:cs="仿宋"/>
          <w:sz w:val="32"/>
          <w:szCs w:val="32"/>
          <w:lang w:val="en-US" w:eastAsia="zh-CN"/>
        </w:rPr>
        <w:t>牛</w:t>
      </w:r>
      <w:r>
        <w:rPr>
          <w:rFonts w:hint="eastAsia" w:ascii="仿宋" w:hAnsi="仿宋" w:eastAsia="仿宋" w:cs="仿宋"/>
          <w:sz w:val="32"/>
          <w:szCs w:val="32"/>
        </w:rPr>
        <w:t>奶是一种纯天然绿色食品，对于很多减肥者而言也是一种福音——喝</w:t>
      </w:r>
      <w:r>
        <w:rPr>
          <w:rFonts w:hint="eastAsia" w:ascii="仿宋" w:hAnsi="仿宋" w:eastAsia="仿宋" w:cs="仿宋"/>
          <w:sz w:val="32"/>
          <w:szCs w:val="32"/>
          <w:lang w:val="en-US" w:eastAsia="zh-CN"/>
        </w:rPr>
        <w:t>牛</w:t>
      </w:r>
      <w:r>
        <w:rPr>
          <w:rFonts w:hint="eastAsia" w:ascii="仿宋" w:hAnsi="仿宋" w:eastAsia="仿宋" w:cs="仿宋"/>
          <w:sz w:val="32"/>
          <w:szCs w:val="32"/>
        </w:rPr>
        <w:t>奶不会发胖。</w:t>
      </w:r>
      <w:r>
        <w:rPr>
          <w:rFonts w:hint="eastAsia" w:ascii="仿宋" w:hAnsi="仿宋" w:eastAsia="仿宋" w:cs="仿宋"/>
          <w:b w:val="0"/>
          <w:bCs/>
          <w:sz w:val="32"/>
          <w:szCs w:val="32"/>
        </w:rPr>
        <w:t>从市场需求看，</w:t>
      </w:r>
      <w:r>
        <w:rPr>
          <w:rFonts w:hint="eastAsia" w:ascii="仿宋" w:hAnsi="仿宋" w:eastAsia="仿宋" w:cs="仿宋"/>
          <w:sz w:val="32"/>
          <w:szCs w:val="32"/>
        </w:rPr>
        <w:t>首先，</w:t>
      </w:r>
      <w:r>
        <w:rPr>
          <w:rFonts w:hint="eastAsia" w:ascii="仿宋" w:hAnsi="仿宋" w:eastAsia="仿宋" w:cs="仿宋"/>
          <w:sz w:val="32"/>
          <w:szCs w:val="32"/>
          <w:lang w:val="en-US" w:eastAsia="zh-CN"/>
        </w:rPr>
        <w:t>牛</w:t>
      </w:r>
      <w:r>
        <w:rPr>
          <w:rFonts w:hint="eastAsia" w:ascii="仿宋" w:hAnsi="仿宋" w:eastAsia="仿宋" w:cs="仿宋"/>
          <w:sz w:val="32"/>
          <w:szCs w:val="32"/>
        </w:rPr>
        <w:t>奶是乳制品中最接近母乳、营养成分最全、最易被人体吸收的奶品。其次，随着消费者对健康、安全、时尚的需求日益膨胀，乳品的需求也呈现多样化发展趋势。</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建设条件</w:t>
      </w:r>
      <w:r>
        <w:rPr>
          <w:rFonts w:hint="eastAsia" w:ascii="仿宋" w:hAnsi="仿宋" w:eastAsia="仿宋" w:cs="仿宋"/>
          <w:sz w:val="32"/>
          <w:szCs w:val="32"/>
        </w:rPr>
        <w:t>：巴彦淖尔市位于国家主体功能区规划确定的七大农产品主产区之一的河套灌区腹地，引黄河水自流灌溉。全市种植玉米</w:t>
      </w:r>
      <w:r>
        <w:rPr>
          <w:rFonts w:hint="eastAsia" w:ascii="仿宋" w:hAnsi="仿宋" w:eastAsia="仿宋" w:cs="仿宋"/>
          <w:sz w:val="32"/>
          <w:szCs w:val="32"/>
          <w:lang w:val="en-US" w:eastAsia="zh-CN"/>
        </w:rPr>
        <w:t>600多</w:t>
      </w:r>
      <w:r>
        <w:rPr>
          <w:rFonts w:hint="eastAsia" w:ascii="仿宋" w:hAnsi="仿宋" w:eastAsia="仿宋" w:cs="仿宋"/>
          <w:sz w:val="32"/>
          <w:szCs w:val="32"/>
        </w:rPr>
        <w:t>万亩、葵花</w:t>
      </w:r>
      <w:r>
        <w:rPr>
          <w:rFonts w:hint="eastAsia" w:ascii="仿宋" w:hAnsi="仿宋" w:eastAsia="仿宋" w:cs="仿宋"/>
          <w:sz w:val="32"/>
          <w:szCs w:val="32"/>
          <w:lang w:val="en-US" w:eastAsia="zh-CN"/>
        </w:rPr>
        <w:t>363</w:t>
      </w:r>
      <w:r>
        <w:rPr>
          <w:rFonts w:hint="eastAsia" w:ascii="仿宋" w:hAnsi="仿宋" w:eastAsia="仿宋" w:cs="仿宋"/>
          <w:sz w:val="32"/>
          <w:szCs w:val="32"/>
        </w:rPr>
        <w:t>万亩，丰富的农作物秸秆资源为项目提供了保障，规模化养殖基地的建设和奶</w:t>
      </w:r>
      <w:r>
        <w:rPr>
          <w:rFonts w:hint="eastAsia" w:ascii="仿宋" w:hAnsi="仿宋" w:eastAsia="仿宋" w:cs="仿宋"/>
          <w:sz w:val="32"/>
          <w:szCs w:val="32"/>
          <w:lang w:val="en-US" w:eastAsia="zh-CN"/>
        </w:rPr>
        <w:t>牛</w:t>
      </w:r>
      <w:r>
        <w:rPr>
          <w:rFonts w:hint="eastAsia" w:ascii="仿宋" w:hAnsi="仿宋" w:eastAsia="仿宋" w:cs="仿宋"/>
          <w:sz w:val="32"/>
          <w:szCs w:val="32"/>
        </w:rPr>
        <w:t>产业的快速扩张将巴彦淖尔市打造成自治区绿色农畜产品生产输出基地。</w:t>
      </w:r>
      <w:r>
        <w:rPr>
          <w:rFonts w:hint="eastAsia" w:ascii="仿宋" w:hAnsi="仿宋" w:eastAsia="仿宋" w:cs="仿宋"/>
          <w:sz w:val="32"/>
          <w:szCs w:val="32"/>
          <w:lang w:val="en-US" w:eastAsia="zh-CN"/>
        </w:rPr>
        <w:t>全市奶牛饲养量达35万头，有机奶牛达到10万多头，年产有机奶40万吨，巴彦淖尔是全球最大的有机奶生产基地。</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：年繁育</w:t>
      </w:r>
      <w:r>
        <w:rPr>
          <w:rFonts w:hint="eastAsia" w:ascii="仿宋" w:hAnsi="仿宋" w:eastAsia="仿宋" w:cs="仿宋"/>
          <w:sz w:val="32"/>
          <w:szCs w:val="32"/>
          <w:lang w:val="en-US" w:eastAsia="zh-CN"/>
        </w:rPr>
        <w:t>奶牛30</w:t>
      </w:r>
      <w:r>
        <w:rPr>
          <w:rFonts w:hint="eastAsia" w:ascii="仿宋" w:hAnsi="仿宋" w:eastAsia="仿宋" w:cs="仿宋"/>
          <w:sz w:val="32"/>
          <w:szCs w:val="32"/>
        </w:rPr>
        <w:t>万只左右</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及奶制品加工项目</w:t>
      </w:r>
    </w:p>
    <w:p>
      <w:pPr>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宋体" w:hAnsi="宋体" w:cs="宋体"/>
          <w:b/>
          <w:sz w:val="28"/>
          <w:szCs w:val="28"/>
        </w:rPr>
        <w:t>技术经济指标估算</w:t>
      </w:r>
      <w:r>
        <w:rPr>
          <w:rFonts w:hint="eastAsia" w:ascii="仿宋" w:hAnsi="仿宋" w:eastAsia="仿宋" w:cs="仿宋"/>
          <w:sz w:val="32"/>
          <w:szCs w:val="32"/>
        </w:rPr>
        <w:t>：</w:t>
      </w:r>
    </w:p>
    <w:tbl>
      <w:tblPr>
        <w:tblStyle w:val="12"/>
        <w:tblW w:w="8352"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8"/>
        <w:gridCol w:w="2258"/>
        <w:gridCol w:w="1619"/>
        <w:gridCol w:w="1619"/>
        <w:gridCol w:w="187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978" w:type="dxa"/>
            <w:vAlign w:val="center"/>
          </w:tcPr>
          <w:p>
            <w:pPr>
              <w:spacing w:line="500" w:lineRule="exact"/>
              <w:jc w:val="center"/>
              <w:rPr>
                <w:rFonts w:ascii="宋体" w:cs="仿宋"/>
                <w:sz w:val="24"/>
                <w:szCs w:val="28"/>
              </w:rPr>
            </w:pPr>
            <w:r>
              <w:rPr>
                <w:rFonts w:hint="eastAsia" w:ascii="宋体" w:hAnsi="宋体" w:cs="仿宋"/>
                <w:sz w:val="24"/>
                <w:szCs w:val="28"/>
              </w:rPr>
              <w:t>序号</w:t>
            </w:r>
          </w:p>
        </w:tc>
        <w:tc>
          <w:tcPr>
            <w:tcW w:w="2258" w:type="dxa"/>
            <w:vAlign w:val="center"/>
          </w:tcPr>
          <w:p>
            <w:pPr>
              <w:spacing w:line="500" w:lineRule="exact"/>
              <w:jc w:val="center"/>
              <w:rPr>
                <w:rFonts w:ascii="宋体" w:cs="仿宋"/>
                <w:sz w:val="24"/>
                <w:szCs w:val="28"/>
              </w:rPr>
            </w:pPr>
            <w:r>
              <w:rPr>
                <w:rFonts w:hint="eastAsia" w:ascii="宋体" w:hAnsi="宋体" w:cs="仿宋"/>
                <w:sz w:val="24"/>
                <w:szCs w:val="28"/>
              </w:rPr>
              <w:t>项目名称</w:t>
            </w:r>
          </w:p>
        </w:tc>
        <w:tc>
          <w:tcPr>
            <w:tcW w:w="1619" w:type="dxa"/>
            <w:vAlign w:val="center"/>
          </w:tcPr>
          <w:p>
            <w:pPr>
              <w:spacing w:line="500" w:lineRule="exact"/>
              <w:jc w:val="center"/>
              <w:rPr>
                <w:rFonts w:ascii="宋体" w:cs="仿宋"/>
                <w:sz w:val="24"/>
                <w:szCs w:val="28"/>
              </w:rPr>
            </w:pPr>
            <w:r>
              <w:rPr>
                <w:rFonts w:hint="eastAsia" w:ascii="宋体" w:hAnsi="宋体" w:cs="仿宋"/>
                <w:sz w:val="24"/>
                <w:szCs w:val="28"/>
              </w:rPr>
              <w:t>单位</w:t>
            </w:r>
          </w:p>
        </w:tc>
        <w:tc>
          <w:tcPr>
            <w:tcW w:w="1619" w:type="dxa"/>
            <w:vAlign w:val="center"/>
          </w:tcPr>
          <w:p>
            <w:pPr>
              <w:spacing w:line="500" w:lineRule="exact"/>
              <w:jc w:val="center"/>
              <w:rPr>
                <w:rFonts w:ascii="宋体" w:cs="仿宋"/>
                <w:sz w:val="24"/>
                <w:szCs w:val="28"/>
              </w:rPr>
            </w:pPr>
            <w:r>
              <w:rPr>
                <w:rFonts w:hint="eastAsia" w:ascii="宋体" w:hAnsi="宋体" w:cs="仿宋"/>
                <w:sz w:val="24"/>
                <w:szCs w:val="28"/>
              </w:rPr>
              <w:t>数量</w:t>
            </w:r>
          </w:p>
        </w:tc>
        <w:tc>
          <w:tcPr>
            <w:tcW w:w="1878" w:type="dxa"/>
            <w:vAlign w:val="center"/>
          </w:tcPr>
          <w:p>
            <w:pPr>
              <w:spacing w:line="500" w:lineRule="exact"/>
              <w:jc w:val="center"/>
              <w:rPr>
                <w:rFonts w:ascii="宋体" w:cs="仿宋"/>
                <w:sz w:val="24"/>
                <w:szCs w:val="28"/>
              </w:rPr>
            </w:pPr>
            <w:r>
              <w:rPr>
                <w:rFonts w:hint="eastAsia" w:ascii="宋体" w:hAnsi="宋体" w:cs="仿宋"/>
                <w:sz w:val="24"/>
                <w:szCs w:val="28"/>
              </w:rPr>
              <w:t>备</w:t>
            </w:r>
            <w:r>
              <w:rPr>
                <w:rFonts w:ascii="宋体" w:hAnsi="宋体" w:cs="仿宋"/>
                <w:sz w:val="24"/>
                <w:szCs w:val="28"/>
              </w:rPr>
              <w:t xml:space="preserve">  </w:t>
            </w:r>
            <w:r>
              <w:rPr>
                <w:rFonts w:hint="eastAsia" w:ascii="宋体" w:hAnsi="宋体" w:cs="仿宋"/>
                <w:sz w:val="24"/>
                <w:szCs w:val="28"/>
              </w:rPr>
              <w:t>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500" w:lineRule="exact"/>
              <w:jc w:val="center"/>
              <w:rPr>
                <w:rFonts w:ascii="宋体" w:cs="仿宋"/>
                <w:sz w:val="24"/>
                <w:szCs w:val="28"/>
              </w:rPr>
            </w:pPr>
            <w:r>
              <w:rPr>
                <w:rFonts w:ascii="宋体" w:hAnsi="宋体" w:cs="仿宋"/>
                <w:sz w:val="24"/>
                <w:szCs w:val="28"/>
              </w:rPr>
              <w:t>1</w:t>
            </w:r>
          </w:p>
        </w:tc>
        <w:tc>
          <w:tcPr>
            <w:tcW w:w="2258" w:type="dxa"/>
            <w:vAlign w:val="center"/>
          </w:tcPr>
          <w:p>
            <w:pPr>
              <w:spacing w:line="500" w:lineRule="exact"/>
              <w:jc w:val="center"/>
              <w:rPr>
                <w:rFonts w:ascii="宋体" w:cs="仿宋"/>
                <w:sz w:val="24"/>
                <w:szCs w:val="28"/>
              </w:rPr>
            </w:pPr>
            <w:r>
              <w:rPr>
                <w:rFonts w:hint="eastAsia" w:ascii="宋体" w:hAnsi="宋体" w:cs="仿宋"/>
                <w:sz w:val="24"/>
                <w:szCs w:val="28"/>
              </w:rPr>
              <w:t>总投资</w:t>
            </w:r>
          </w:p>
        </w:tc>
        <w:tc>
          <w:tcPr>
            <w:tcW w:w="1619" w:type="dxa"/>
            <w:vAlign w:val="center"/>
          </w:tcPr>
          <w:p>
            <w:pPr>
              <w:spacing w:line="500" w:lineRule="exact"/>
              <w:jc w:val="center"/>
              <w:rPr>
                <w:rFonts w:ascii="宋体" w:cs="仿宋"/>
                <w:sz w:val="24"/>
                <w:szCs w:val="28"/>
              </w:rPr>
            </w:pPr>
            <w:r>
              <w:rPr>
                <w:rFonts w:hint="eastAsia" w:ascii="宋体" w:hAnsi="宋体" w:cs="仿宋"/>
                <w:sz w:val="24"/>
                <w:szCs w:val="28"/>
              </w:rPr>
              <w:t>万元</w:t>
            </w:r>
          </w:p>
        </w:tc>
        <w:tc>
          <w:tcPr>
            <w:tcW w:w="1619" w:type="dxa"/>
            <w:vAlign w:val="center"/>
          </w:tcPr>
          <w:p>
            <w:pPr>
              <w:spacing w:line="500" w:lineRule="exact"/>
              <w:jc w:val="center"/>
              <w:rPr>
                <w:rFonts w:ascii="宋体" w:cs="仿宋"/>
                <w:sz w:val="24"/>
                <w:szCs w:val="28"/>
              </w:rPr>
            </w:pPr>
            <w:r>
              <w:rPr>
                <w:rFonts w:ascii="宋体" w:hAnsi="宋体" w:cs="仿宋"/>
                <w:sz w:val="24"/>
                <w:szCs w:val="28"/>
              </w:rPr>
              <w:t>200000</w:t>
            </w:r>
          </w:p>
        </w:tc>
        <w:tc>
          <w:tcPr>
            <w:tcW w:w="1878" w:type="dxa"/>
            <w:vAlign w:val="center"/>
          </w:tcPr>
          <w:p>
            <w:pPr>
              <w:spacing w:line="5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500" w:lineRule="exact"/>
              <w:jc w:val="center"/>
              <w:rPr>
                <w:rFonts w:ascii="宋体" w:cs="仿宋"/>
                <w:sz w:val="24"/>
                <w:szCs w:val="28"/>
              </w:rPr>
            </w:pPr>
            <w:r>
              <w:rPr>
                <w:rFonts w:ascii="宋体" w:hAnsi="宋体" w:cs="仿宋"/>
                <w:sz w:val="24"/>
                <w:szCs w:val="28"/>
              </w:rPr>
              <w:t>2</w:t>
            </w:r>
          </w:p>
        </w:tc>
        <w:tc>
          <w:tcPr>
            <w:tcW w:w="2258" w:type="dxa"/>
            <w:vAlign w:val="center"/>
          </w:tcPr>
          <w:p>
            <w:pPr>
              <w:spacing w:line="500" w:lineRule="exact"/>
              <w:jc w:val="center"/>
              <w:rPr>
                <w:rFonts w:ascii="宋体" w:cs="仿宋"/>
                <w:sz w:val="24"/>
                <w:szCs w:val="28"/>
              </w:rPr>
            </w:pPr>
            <w:r>
              <w:rPr>
                <w:rFonts w:hint="eastAsia" w:ascii="宋体" w:hAnsi="宋体" w:cs="仿宋"/>
                <w:sz w:val="24"/>
                <w:szCs w:val="28"/>
              </w:rPr>
              <w:t>建设投资</w:t>
            </w:r>
          </w:p>
        </w:tc>
        <w:tc>
          <w:tcPr>
            <w:tcW w:w="1619" w:type="dxa"/>
            <w:vAlign w:val="center"/>
          </w:tcPr>
          <w:p>
            <w:pPr>
              <w:spacing w:line="500" w:lineRule="exact"/>
              <w:jc w:val="center"/>
              <w:rPr>
                <w:rFonts w:ascii="宋体" w:cs="仿宋"/>
                <w:sz w:val="24"/>
                <w:szCs w:val="28"/>
              </w:rPr>
            </w:pPr>
            <w:r>
              <w:rPr>
                <w:rFonts w:hint="eastAsia" w:ascii="宋体" w:hAnsi="宋体" w:cs="仿宋"/>
                <w:sz w:val="24"/>
                <w:szCs w:val="28"/>
              </w:rPr>
              <w:t>万元</w:t>
            </w:r>
          </w:p>
        </w:tc>
        <w:tc>
          <w:tcPr>
            <w:tcW w:w="1619" w:type="dxa"/>
            <w:vAlign w:val="center"/>
          </w:tcPr>
          <w:p>
            <w:pPr>
              <w:spacing w:line="500" w:lineRule="exact"/>
              <w:jc w:val="center"/>
              <w:rPr>
                <w:rFonts w:ascii="宋体" w:cs="仿宋"/>
                <w:sz w:val="24"/>
                <w:szCs w:val="28"/>
              </w:rPr>
            </w:pPr>
            <w:r>
              <w:rPr>
                <w:rFonts w:ascii="宋体" w:hAnsi="宋体" w:cs="仿宋"/>
                <w:sz w:val="24"/>
                <w:szCs w:val="28"/>
              </w:rPr>
              <w:t>22250</w:t>
            </w:r>
          </w:p>
        </w:tc>
        <w:tc>
          <w:tcPr>
            <w:tcW w:w="1878" w:type="dxa"/>
            <w:vAlign w:val="center"/>
          </w:tcPr>
          <w:p>
            <w:pPr>
              <w:spacing w:line="5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500" w:lineRule="exact"/>
              <w:jc w:val="center"/>
              <w:rPr>
                <w:rFonts w:ascii="宋体" w:cs="仿宋"/>
                <w:sz w:val="24"/>
                <w:szCs w:val="28"/>
              </w:rPr>
            </w:pPr>
            <w:r>
              <w:rPr>
                <w:rFonts w:ascii="宋体" w:hAnsi="宋体" w:cs="仿宋"/>
                <w:sz w:val="24"/>
                <w:szCs w:val="28"/>
              </w:rPr>
              <w:t>3</w:t>
            </w:r>
          </w:p>
        </w:tc>
        <w:tc>
          <w:tcPr>
            <w:tcW w:w="2258" w:type="dxa"/>
            <w:vAlign w:val="center"/>
          </w:tcPr>
          <w:p>
            <w:pPr>
              <w:spacing w:line="500" w:lineRule="exact"/>
              <w:jc w:val="center"/>
              <w:rPr>
                <w:rFonts w:ascii="宋体" w:cs="仿宋"/>
                <w:sz w:val="24"/>
                <w:szCs w:val="28"/>
              </w:rPr>
            </w:pPr>
            <w:r>
              <w:rPr>
                <w:rFonts w:hint="eastAsia" w:ascii="宋体" w:hAnsi="宋体" w:cs="仿宋"/>
                <w:sz w:val="24"/>
                <w:szCs w:val="28"/>
              </w:rPr>
              <w:t>年均销售收入</w:t>
            </w:r>
          </w:p>
        </w:tc>
        <w:tc>
          <w:tcPr>
            <w:tcW w:w="1619" w:type="dxa"/>
            <w:vAlign w:val="center"/>
          </w:tcPr>
          <w:p>
            <w:pPr>
              <w:spacing w:line="500" w:lineRule="exact"/>
              <w:jc w:val="center"/>
              <w:rPr>
                <w:rFonts w:ascii="宋体" w:cs="仿宋"/>
                <w:sz w:val="24"/>
                <w:szCs w:val="28"/>
              </w:rPr>
            </w:pPr>
            <w:r>
              <w:rPr>
                <w:rFonts w:hint="eastAsia" w:ascii="宋体" w:hAnsi="宋体" w:cs="仿宋"/>
                <w:sz w:val="24"/>
                <w:szCs w:val="28"/>
              </w:rPr>
              <w:t>万元</w:t>
            </w:r>
          </w:p>
        </w:tc>
        <w:tc>
          <w:tcPr>
            <w:tcW w:w="1619" w:type="dxa"/>
            <w:vAlign w:val="center"/>
          </w:tcPr>
          <w:p>
            <w:pPr>
              <w:spacing w:line="500" w:lineRule="exact"/>
              <w:jc w:val="center"/>
              <w:rPr>
                <w:rFonts w:ascii="宋体" w:cs="仿宋"/>
                <w:sz w:val="24"/>
                <w:szCs w:val="28"/>
              </w:rPr>
            </w:pPr>
            <w:r>
              <w:rPr>
                <w:rFonts w:ascii="宋体" w:hAnsi="宋体" w:cs="仿宋"/>
                <w:sz w:val="24"/>
                <w:szCs w:val="28"/>
              </w:rPr>
              <w:t>150000</w:t>
            </w:r>
          </w:p>
        </w:tc>
        <w:tc>
          <w:tcPr>
            <w:tcW w:w="1878" w:type="dxa"/>
            <w:vAlign w:val="center"/>
          </w:tcPr>
          <w:p>
            <w:pPr>
              <w:spacing w:line="5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500" w:lineRule="exact"/>
              <w:jc w:val="center"/>
              <w:rPr>
                <w:rFonts w:ascii="宋体" w:cs="仿宋"/>
                <w:sz w:val="24"/>
                <w:szCs w:val="28"/>
              </w:rPr>
            </w:pPr>
            <w:r>
              <w:rPr>
                <w:rFonts w:ascii="宋体" w:hAnsi="宋体" w:cs="仿宋"/>
                <w:sz w:val="24"/>
                <w:szCs w:val="28"/>
              </w:rPr>
              <w:t>4</w:t>
            </w:r>
          </w:p>
        </w:tc>
        <w:tc>
          <w:tcPr>
            <w:tcW w:w="2258" w:type="dxa"/>
            <w:vAlign w:val="center"/>
          </w:tcPr>
          <w:p>
            <w:pPr>
              <w:spacing w:line="500" w:lineRule="exact"/>
              <w:jc w:val="center"/>
              <w:rPr>
                <w:rFonts w:ascii="宋体" w:cs="仿宋"/>
                <w:sz w:val="24"/>
                <w:szCs w:val="28"/>
              </w:rPr>
            </w:pPr>
            <w:r>
              <w:rPr>
                <w:rFonts w:hint="eastAsia" w:ascii="宋体" w:hAnsi="宋体" w:cs="仿宋"/>
                <w:sz w:val="24"/>
                <w:szCs w:val="28"/>
              </w:rPr>
              <w:t>年均总成本</w:t>
            </w:r>
          </w:p>
        </w:tc>
        <w:tc>
          <w:tcPr>
            <w:tcW w:w="1619" w:type="dxa"/>
            <w:vAlign w:val="center"/>
          </w:tcPr>
          <w:p>
            <w:pPr>
              <w:spacing w:line="500" w:lineRule="exact"/>
              <w:jc w:val="center"/>
              <w:rPr>
                <w:rFonts w:ascii="宋体" w:cs="仿宋"/>
                <w:sz w:val="24"/>
                <w:szCs w:val="28"/>
              </w:rPr>
            </w:pPr>
            <w:r>
              <w:rPr>
                <w:rFonts w:hint="eastAsia" w:ascii="宋体" w:hAnsi="宋体" w:cs="仿宋"/>
                <w:sz w:val="24"/>
                <w:szCs w:val="28"/>
              </w:rPr>
              <w:t>万元</w:t>
            </w:r>
          </w:p>
        </w:tc>
        <w:tc>
          <w:tcPr>
            <w:tcW w:w="1619" w:type="dxa"/>
            <w:vAlign w:val="center"/>
          </w:tcPr>
          <w:p>
            <w:pPr>
              <w:spacing w:line="500" w:lineRule="exact"/>
              <w:jc w:val="center"/>
              <w:rPr>
                <w:rFonts w:ascii="宋体" w:cs="仿宋"/>
                <w:sz w:val="24"/>
                <w:szCs w:val="28"/>
              </w:rPr>
            </w:pPr>
            <w:r>
              <w:rPr>
                <w:rFonts w:ascii="宋体" w:hAnsi="宋体" w:cs="仿宋"/>
                <w:sz w:val="24"/>
                <w:szCs w:val="28"/>
              </w:rPr>
              <w:t>120000</w:t>
            </w:r>
          </w:p>
        </w:tc>
        <w:tc>
          <w:tcPr>
            <w:tcW w:w="1878" w:type="dxa"/>
            <w:vAlign w:val="center"/>
          </w:tcPr>
          <w:p>
            <w:pPr>
              <w:spacing w:line="5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500" w:lineRule="exact"/>
              <w:jc w:val="center"/>
              <w:rPr>
                <w:rFonts w:ascii="宋体" w:cs="仿宋"/>
                <w:sz w:val="24"/>
                <w:szCs w:val="28"/>
              </w:rPr>
            </w:pPr>
            <w:r>
              <w:rPr>
                <w:rFonts w:ascii="宋体" w:hAnsi="宋体" w:cs="仿宋"/>
                <w:sz w:val="24"/>
                <w:szCs w:val="28"/>
              </w:rPr>
              <w:t>5</w:t>
            </w:r>
          </w:p>
        </w:tc>
        <w:tc>
          <w:tcPr>
            <w:tcW w:w="2258" w:type="dxa"/>
            <w:vAlign w:val="center"/>
          </w:tcPr>
          <w:p>
            <w:pPr>
              <w:spacing w:line="500" w:lineRule="exact"/>
              <w:jc w:val="center"/>
              <w:rPr>
                <w:rFonts w:ascii="宋体" w:cs="仿宋"/>
                <w:sz w:val="24"/>
                <w:szCs w:val="28"/>
              </w:rPr>
            </w:pPr>
            <w:r>
              <w:rPr>
                <w:rFonts w:hint="eastAsia" w:ascii="宋体" w:hAnsi="宋体" w:cs="仿宋"/>
                <w:sz w:val="24"/>
                <w:szCs w:val="28"/>
              </w:rPr>
              <w:t>年均利润总额</w:t>
            </w:r>
          </w:p>
        </w:tc>
        <w:tc>
          <w:tcPr>
            <w:tcW w:w="1619" w:type="dxa"/>
            <w:vAlign w:val="center"/>
          </w:tcPr>
          <w:p>
            <w:pPr>
              <w:spacing w:line="500" w:lineRule="exact"/>
              <w:jc w:val="center"/>
              <w:rPr>
                <w:rFonts w:ascii="宋体" w:cs="仿宋"/>
                <w:sz w:val="24"/>
                <w:szCs w:val="28"/>
              </w:rPr>
            </w:pPr>
            <w:r>
              <w:rPr>
                <w:rFonts w:hint="eastAsia" w:ascii="宋体" w:hAnsi="宋体" w:cs="仿宋"/>
                <w:sz w:val="24"/>
                <w:szCs w:val="28"/>
              </w:rPr>
              <w:t>万元</w:t>
            </w:r>
          </w:p>
        </w:tc>
        <w:tc>
          <w:tcPr>
            <w:tcW w:w="1619" w:type="dxa"/>
            <w:vAlign w:val="center"/>
          </w:tcPr>
          <w:p>
            <w:pPr>
              <w:spacing w:line="500" w:lineRule="exact"/>
              <w:jc w:val="center"/>
              <w:rPr>
                <w:rFonts w:ascii="宋体" w:cs="仿宋"/>
                <w:sz w:val="24"/>
                <w:szCs w:val="28"/>
              </w:rPr>
            </w:pPr>
            <w:r>
              <w:rPr>
                <w:rFonts w:ascii="宋体" w:hAnsi="宋体" w:cs="仿宋"/>
                <w:sz w:val="24"/>
                <w:szCs w:val="28"/>
              </w:rPr>
              <w:t>30000</w:t>
            </w:r>
          </w:p>
        </w:tc>
        <w:tc>
          <w:tcPr>
            <w:tcW w:w="1878" w:type="dxa"/>
            <w:vAlign w:val="center"/>
          </w:tcPr>
          <w:p>
            <w:pPr>
              <w:spacing w:line="5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500" w:lineRule="exact"/>
              <w:jc w:val="center"/>
              <w:rPr>
                <w:rFonts w:ascii="宋体" w:cs="仿宋"/>
                <w:sz w:val="24"/>
                <w:szCs w:val="28"/>
              </w:rPr>
            </w:pPr>
            <w:r>
              <w:rPr>
                <w:rFonts w:ascii="宋体" w:hAnsi="宋体" w:cs="仿宋"/>
                <w:sz w:val="24"/>
                <w:szCs w:val="28"/>
              </w:rPr>
              <w:t>6</w:t>
            </w:r>
          </w:p>
        </w:tc>
        <w:tc>
          <w:tcPr>
            <w:tcW w:w="2258" w:type="dxa"/>
            <w:vAlign w:val="center"/>
          </w:tcPr>
          <w:p>
            <w:pPr>
              <w:spacing w:line="500" w:lineRule="exact"/>
              <w:jc w:val="center"/>
              <w:rPr>
                <w:rFonts w:ascii="宋体" w:cs="仿宋"/>
                <w:sz w:val="24"/>
                <w:szCs w:val="28"/>
              </w:rPr>
            </w:pPr>
            <w:r>
              <w:rPr>
                <w:rFonts w:hint="eastAsia" w:ascii="宋体" w:hAnsi="宋体" w:cs="仿宋"/>
                <w:sz w:val="24"/>
                <w:szCs w:val="28"/>
              </w:rPr>
              <w:t>年均税后利润</w:t>
            </w:r>
          </w:p>
        </w:tc>
        <w:tc>
          <w:tcPr>
            <w:tcW w:w="1619" w:type="dxa"/>
            <w:vAlign w:val="center"/>
          </w:tcPr>
          <w:p>
            <w:pPr>
              <w:spacing w:line="500" w:lineRule="exact"/>
              <w:jc w:val="center"/>
              <w:rPr>
                <w:rFonts w:ascii="宋体" w:cs="仿宋"/>
                <w:sz w:val="24"/>
                <w:szCs w:val="28"/>
              </w:rPr>
            </w:pPr>
            <w:r>
              <w:rPr>
                <w:rFonts w:hint="eastAsia" w:ascii="宋体" w:hAnsi="宋体" w:cs="仿宋"/>
                <w:sz w:val="24"/>
                <w:szCs w:val="28"/>
              </w:rPr>
              <w:t>万元</w:t>
            </w:r>
          </w:p>
        </w:tc>
        <w:tc>
          <w:tcPr>
            <w:tcW w:w="1619" w:type="dxa"/>
            <w:vAlign w:val="center"/>
          </w:tcPr>
          <w:p>
            <w:pPr>
              <w:spacing w:line="500" w:lineRule="exact"/>
              <w:jc w:val="center"/>
              <w:rPr>
                <w:rFonts w:ascii="宋体" w:cs="仿宋"/>
                <w:sz w:val="24"/>
                <w:szCs w:val="28"/>
              </w:rPr>
            </w:pPr>
            <w:r>
              <w:rPr>
                <w:rFonts w:ascii="宋体" w:hAnsi="宋体" w:cs="仿宋"/>
                <w:sz w:val="24"/>
                <w:szCs w:val="28"/>
              </w:rPr>
              <w:t>25000</w:t>
            </w:r>
          </w:p>
        </w:tc>
        <w:tc>
          <w:tcPr>
            <w:tcW w:w="1878" w:type="dxa"/>
            <w:vAlign w:val="center"/>
          </w:tcPr>
          <w:p>
            <w:pPr>
              <w:spacing w:line="500" w:lineRule="exact"/>
              <w:jc w:val="center"/>
              <w:rPr>
                <w:rFonts w:ascii="宋体" w:cs="仿宋"/>
                <w:sz w:val="24"/>
                <w:szCs w:val="28"/>
              </w:rPr>
            </w:pPr>
          </w:p>
        </w:tc>
      </w:tr>
    </w:tbl>
    <w:p>
      <w:pPr>
        <w:rPr>
          <w:rFonts w:hint="eastAsia"/>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cs="宋体"/>
          <w:b/>
          <w:bCs w:val="0"/>
          <w:sz w:val="44"/>
          <w:szCs w:val="44"/>
        </w:rPr>
      </w:pPr>
      <w:r>
        <w:rPr>
          <w:rFonts w:hint="eastAsia" w:ascii="宋体" w:hAnsi="宋体" w:cs="宋体"/>
          <w:b/>
          <w:bCs w:val="0"/>
          <w:sz w:val="44"/>
          <w:szCs w:val="44"/>
        </w:rPr>
        <w:t>面粉休闲食品加工项目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spacing w:line="520" w:lineRule="exact"/>
        <w:rPr>
          <w:rFonts w:hint="eastAsia" w:ascii="仿宋" w:hAnsi="仿宋" w:eastAsia="仿宋" w:cs="仿宋"/>
          <w:b/>
          <w:bCs/>
          <w:sz w:val="32"/>
          <w:szCs w:val="32"/>
          <w:lang w:eastAsia="zh-CN"/>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sz w:val="28"/>
          <w:szCs w:val="28"/>
        </w:rPr>
        <w:t>巴彦淖尔农牧业资源丰富，围绕农业抓工业，抓服务业，实现一二三产业有机融合，做大做强产业化龙头企业，延长产业链，能够大幅提升农牧业产业化的经济规模和质量，增强龙头企业带动能力，真正把资源优势转化为经济优势。巴彦淖尔区位优势明显，生产要素条件齐备，结合国内市场对小麦深加工产品的市场需求，可把小麦深加工成方便面、饼干等需求大、损耗率小的休闲食品，满足市场需求。同时，饼干具有耐贮藏、易携带、口味多样等特点，深受人们喜爱。饼干品种正向休闲化和功能化食品方向发展。</w:t>
      </w:r>
    </w:p>
    <w:p>
      <w:pPr>
        <w:spacing w:line="520" w:lineRule="exact"/>
        <w:rPr>
          <w:rFonts w:hint="eastAsia" w:ascii="仿宋" w:hAnsi="仿宋" w:eastAsia="仿宋" w:cs="仿宋"/>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rPr>
        <w:t>：</w:t>
      </w:r>
      <w:r>
        <w:rPr>
          <w:rFonts w:hint="eastAsia" w:ascii="仿宋" w:hAnsi="仿宋" w:eastAsia="仿宋" w:cs="仿宋"/>
          <w:b w:val="0"/>
          <w:bCs/>
          <w:sz w:val="28"/>
          <w:szCs w:val="28"/>
        </w:rPr>
        <w:t>巴彦淖尔市是国家重要的优质春小麦产区。</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22</w:t>
      </w:r>
      <w:r>
        <w:rPr>
          <w:rFonts w:hint="eastAsia" w:ascii="仿宋" w:hAnsi="仿宋" w:eastAsia="仿宋" w:cs="仿宋"/>
          <w:color w:val="auto"/>
          <w:sz w:val="28"/>
          <w:szCs w:val="28"/>
        </w:rPr>
        <w:t xml:space="preserve">年，小麦种植面积 </w:t>
      </w:r>
      <w:r>
        <w:rPr>
          <w:rFonts w:hint="eastAsia" w:ascii="仿宋" w:hAnsi="仿宋" w:eastAsia="仿宋" w:cs="仿宋"/>
          <w:color w:val="auto"/>
          <w:sz w:val="28"/>
          <w:szCs w:val="28"/>
          <w:lang w:val="en-US" w:eastAsia="zh-CN"/>
        </w:rPr>
        <w:t>62</w:t>
      </w:r>
      <w:r>
        <w:rPr>
          <w:rFonts w:hint="eastAsia" w:ascii="仿宋" w:hAnsi="仿宋" w:eastAsia="仿宋" w:cs="仿宋"/>
          <w:color w:val="auto"/>
          <w:sz w:val="28"/>
          <w:szCs w:val="28"/>
        </w:rPr>
        <w:t>万亩，</w:t>
      </w:r>
      <w:r>
        <w:rPr>
          <w:rFonts w:hint="eastAsia" w:ascii="仿宋" w:hAnsi="仿宋" w:eastAsia="仿宋" w:cs="仿宋"/>
          <w:color w:val="auto"/>
          <w:sz w:val="28"/>
          <w:szCs w:val="28"/>
          <w:lang w:val="en-US" w:eastAsia="zh-CN"/>
        </w:rPr>
        <w:t>总</w:t>
      </w:r>
      <w:r>
        <w:rPr>
          <w:rFonts w:hint="eastAsia" w:ascii="仿宋" w:hAnsi="仿宋" w:eastAsia="仿宋" w:cs="仿宋"/>
          <w:color w:val="auto"/>
          <w:sz w:val="28"/>
          <w:szCs w:val="28"/>
        </w:rPr>
        <w:t xml:space="preserve">产量 </w:t>
      </w:r>
      <w:r>
        <w:rPr>
          <w:rFonts w:hint="eastAsia" w:ascii="仿宋" w:hAnsi="仿宋" w:eastAsia="仿宋" w:cs="仿宋"/>
          <w:color w:val="auto"/>
          <w:sz w:val="28"/>
          <w:szCs w:val="28"/>
          <w:lang w:val="en-US" w:eastAsia="zh-CN"/>
        </w:rPr>
        <w:t>4.95亿斤</w:t>
      </w:r>
      <w:r>
        <w:rPr>
          <w:rFonts w:hint="eastAsia" w:ascii="仿宋" w:hAnsi="仿宋" w:eastAsia="仿宋" w:cs="仿宋"/>
          <w:color w:val="auto"/>
          <w:sz w:val="28"/>
          <w:szCs w:val="28"/>
        </w:rPr>
        <w:t>，</w:t>
      </w:r>
      <w:r>
        <w:rPr>
          <w:rFonts w:hint="eastAsia" w:ascii="仿宋" w:hAnsi="仿宋" w:eastAsia="仿宋" w:cs="仿宋"/>
          <w:sz w:val="28"/>
          <w:szCs w:val="28"/>
        </w:rPr>
        <w:t>主要种植品种为永良4号，占播种面积的 98%。河套地区所产小麦品质独特，平均千粒重43.2克，容重792克/升，蛋白质含量 15.1%，均高于全国平均水平；面粉湿面筋含量31.9%，高于高筋粉国际标准含量（30%）；面团形成时间和稳定时间达到了国际水平；百克面粉平均面包体积 817立方厘米，超过了 650-750 立方厘米的国家标准。</w:t>
      </w:r>
    </w:p>
    <w:p>
      <w:pPr>
        <w:spacing w:line="520" w:lineRule="exact"/>
        <w:rPr>
          <w:rFonts w:hint="eastAsia" w:ascii="仿宋" w:hAnsi="仿宋" w:eastAsia="仿宋" w:cs="仿宋"/>
          <w:sz w:val="32"/>
          <w:szCs w:val="32"/>
          <w:lang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sz w:val="28"/>
          <w:szCs w:val="28"/>
        </w:rPr>
        <w:t>考虑到巴彦淖尔所处地理位置，生产要素条件以及当地居民对小麦深加工产品偏好及国内市场需求，建议小麦深加工成面条、面包供本地居民消费，同时深加工成方便面、饼干等易运输且损耗率较小的休闲食品供本地及外地市场。（1）总建筑面积：1000平方米（2）生产厂房600平米（3）库房及辅助设施400平米</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小麦淀粉、谷朊粉、共二条生产线、主要设备二套。厌氧池、兼养池、好氧池、沉淀池等设备。</w:t>
      </w:r>
    </w:p>
    <w:p>
      <w:pPr>
        <w:rPr>
          <w:rFonts w:hint="eastAsia" w:ascii="仿宋" w:hAnsi="仿宋" w:eastAsia="仿宋" w:cs="仿宋"/>
          <w:b/>
          <w:bCs/>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仿宋" w:hAnsi="仿宋" w:eastAsia="仿宋" w:cs="仿宋"/>
          <w:b/>
          <w:sz w:val="28"/>
          <w:szCs w:val="28"/>
        </w:rPr>
        <w:t>技术经济指标估算</w:t>
      </w:r>
      <w:r>
        <w:rPr>
          <w:rFonts w:hint="eastAsia" w:ascii="仿宋" w:hAnsi="仿宋" w:eastAsia="仿宋" w:cs="仿宋"/>
          <w:sz w:val="32"/>
          <w:szCs w:val="32"/>
        </w:rPr>
        <w:t>：</w:t>
      </w:r>
    </w:p>
    <w:p>
      <w:pPr>
        <w:spacing w:line="560" w:lineRule="exact"/>
        <w:rPr>
          <w:rFonts w:hint="default" w:ascii="仿宋" w:hAnsi="仿宋" w:eastAsia="仿宋" w:cs="仿宋"/>
          <w:sz w:val="32"/>
          <w:szCs w:val="32"/>
          <w:lang w:val="en-US" w:eastAsia="zh-CN"/>
        </w:rPr>
      </w:pPr>
      <w:r>
        <w:rPr>
          <w:rFonts w:ascii="宋体" w:hAnsi="宋体" w:cs="仿宋"/>
          <w:b/>
          <w:sz w:val="28"/>
          <w:szCs w:val="28"/>
        </w:rPr>
        <w:t>1.</w:t>
      </w:r>
      <w:r>
        <w:rPr>
          <w:rFonts w:hint="eastAsia" w:ascii="宋体" w:hAnsi="宋体" w:cs="仿宋"/>
          <w:b/>
          <w:sz w:val="28"/>
          <w:szCs w:val="28"/>
        </w:rPr>
        <w:t>方便面项目投资估算及主要技术经济指标</w:t>
      </w:r>
    </w:p>
    <w:tbl>
      <w:tblPr>
        <w:tblStyle w:val="12"/>
        <w:tblW w:w="784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07"/>
        <w:gridCol w:w="1685"/>
        <w:gridCol w:w="1125"/>
        <w:gridCol w:w="1165"/>
        <w:gridCol w:w="16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2207" w:type="dxa"/>
            <w:vAlign w:val="center"/>
          </w:tcPr>
          <w:p>
            <w:pPr>
              <w:spacing w:line="400" w:lineRule="exact"/>
              <w:jc w:val="center"/>
              <w:rPr>
                <w:rFonts w:ascii="宋体" w:cs="仿宋"/>
                <w:color w:val="0000FF"/>
                <w:sz w:val="24"/>
                <w:szCs w:val="28"/>
              </w:rPr>
            </w:pPr>
            <w:r>
              <w:rPr>
                <w:rFonts w:hint="eastAsia" w:ascii="宋体" w:hAnsi="宋体" w:cs="仿宋"/>
                <w:color w:val="0000FF"/>
                <w:sz w:val="24"/>
                <w:szCs w:val="28"/>
              </w:rPr>
              <w:t>序号</w:t>
            </w:r>
          </w:p>
        </w:tc>
        <w:tc>
          <w:tcPr>
            <w:tcW w:w="1685" w:type="dxa"/>
            <w:vAlign w:val="center"/>
          </w:tcPr>
          <w:p>
            <w:pPr>
              <w:spacing w:line="400" w:lineRule="exact"/>
              <w:jc w:val="center"/>
              <w:rPr>
                <w:rFonts w:ascii="宋体" w:cs="仿宋"/>
                <w:sz w:val="24"/>
                <w:szCs w:val="28"/>
              </w:rPr>
            </w:pPr>
            <w:r>
              <w:rPr>
                <w:rFonts w:hint="eastAsia" w:ascii="宋体" w:hAnsi="宋体" w:cs="仿宋"/>
                <w:sz w:val="24"/>
                <w:szCs w:val="28"/>
              </w:rPr>
              <w:t>项目名称</w:t>
            </w:r>
          </w:p>
        </w:tc>
        <w:tc>
          <w:tcPr>
            <w:tcW w:w="1125" w:type="dxa"/>
            <w:vAlign w:val="center"/>
          </w:tcPr>
          <w:p>
            <w:pPr>
              <w:spacing w:line="400" w:lineRule="exact"/>
              <w:jc w:val="center"/>
              <w:rPr>
                <w:rFonts w:ascii="宋体" w:cs="仿宋"/>
                <w:sz w:val="24"/>
                <w:szCs w:val="28"/>
              </w:rPr>
            </w:pPr>
            <w:r>
              <w:rPr>
                <w:rFonts w:hint="eastAsia" w:ascii="宋体" w:hAnsi="宋体" w:cs="仿宋"/>
                <w:sz w:val="24"/>
                <w:szCs w:val="28"/>
              </w:rPr>
              <w:t>单位</w:t>
            </w:r>
          </w:p>
        </w:tc>
        <w:tc>
          <w:tcPr>
            <w:tcW w:w="1165" w:type="dxa"/>
            <w:vAlign w:val="center"/>
          </w:tcPr>
          <w:p>
            <w:pPr>
              <w:spacing w:line="400" w:lineRule="exact"/>
              <w:jc w:val="center"/>
              <w:rPr>
                <w:rFonts w:ascii="宋体" w:cs="仿宋"/>
                <w:sz w:val="24"/>
                <w:szCs w:val="28"/>
              </w:rPr>
            </w:pPr>
            <w:r>
              <w:rPr>
                <w:rFonts w:hint="eastAsia" w:ascii="宋体" w:hAnsi="宋体" w:cs="仿宋"/>
                <w:sz w:val="24"/>
                <w:szCs w:val="28"/>
              </w:rPr>
              <w:t>数量</w:t>
            </w:r>
          </w:p>
        </w:tc>
        <w:tc>
          <w:tcPr>
            <w:tcW w:w="1662" w:type="dxa"/>
            <w:vAlign w:val="center"/>
          </w:tcPr>
          <w:p>
            <w:pPr>
              <w:spacing w:line="400" w:lineRule="exact"/>
              <w:jc w:val="center"/>
              <w:rPr>
                <w:rFonts w:ascii="宋体" w:cs="仿宋"/>
                <w:sz w:val="24"/>
                <w:szCs w:val="28"/>
              </w:rPr>
            </w:pPr>
            <w:r>
              <w:rPr>
                <w:rFonts w:hint="eastAsia" w:ascii="宋体" w:hAnsi="宋体" w:cs="仿宋"/>
                <w:sz w:val="24"/>
                <w:szCs w:val="28"/>
              </w:rPr>
              <w:t>备</w:t>
            </w:r>
            <w:r>
              <w:rPr>
                <w:rFonts w:ascii="宋体" w:hAnsi="宋体" w:cs="仿宋"/>
                <w:sz w:val="24"/>
                <w:szCs w:val="28"/>
              </w:rPr>
              <w:t xml:space="preserve">  </w:t>
            </w:r>
            <w:r>
              <w:rPr>
                <w:rFonts w:hint="eastAsia" w:ascii="宋体" w:hAnsi="宋体" w:cs="仿宋"/>
                <w:sz w:val="24"/>
                <w:szCs w:val="28"/>
              </w:rPr>
              <w:t>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07" w:type="dxa"/>
            <w:vAlign w:val="center"/>
          </w:tcPr>
          <w:p>
            <w:pPr>
              <w:spacing w:line="400" w:lineRule="exact"/>
              <w:jc w:val="center"/>
              <w:rPr>
                <w:rFonts w:ascii="宋体" w:cs="仿宋"/>
                <w:sz w:val="24"/>
                <w:szCs w:val="28"/>
              </w:rPr>
            </w:pPr>
            <w:r>
              <w:rPr>
                <w:rFonts w:ascii="宋体" w:hAnsi="宋体" w:cs="仿宋"/>
                <w:sz w:val="24"/>
                <w:szCs w:val="28"/>
              </w:rPr>
              <w:t>1</w:t>
            </w:r>
          </w:p>
        </w:tc>
        <w:tc>
          <w:tcPr>
            <w:tcW w:w="1685" w:type="dxa"/>
            <w:vAlign w:val="center"/>
          </w:tcPr>
          <w:p>
            <w:pPr>
              <w:spacing w:line="400" w:lineRule="exact"/>
              <w:jc w:val="center"/>
              <w:rPr>
                <w:rFonts w:ascii="宋体" w:cs="仿宋"/>
                <w:sz w:val="24"/>
                <w:szCs w:val="28"/>
              </w:rPr>
            </w:pPr>
            <w:r>
              <w:rPr>
                <w:rFonts w:hint="eastAsia" w:ascii="宋体" w:hAnsi="宋体" w:cs="仿宋"/>
                <w:sz w:val="24"/>
                <w:szCs w:val="28"/>
              </w:rPr>
              <w:t>总投资</w:t>
            </w:r>
          </w:p>
        </w:tc>
        <w:tc>
          <w:tcPr>
            <w:tcW w:w="1125" w:type="dxa"/>
            <w:vAlign w:val="center"/>
          </w:tcPr>
          <w:p>
            <w:pPr>
              <w:spacing w:line="400" w:lineRule="exact"/>
              <w:jc w:val="center"/>
              <w:rPr>
                <w:rFonts w:ascii="宋体" w:cs="仿宋"/>
                <w:sz w:val="24"/>
                <w:szCs w:val="28"/>
              </w:rPr>
            </w:pPr>
            <w:r>
              <w:rPr>
                <w:rFonts w:hint="eastAsia" w:ascii="宋体" w:hAnsi="宋体" w:cs="仿宋"/>
                <w:sz w:val="24"/>
                <w:szCs w:val="28"/>
              </w:rPr>
              <w:t>万元</w:t>
            </w:r>
          </w:p>
        </w:tc>
        <w:tc>
          <w:tcPr>
            <w:tcW w:w="1165" w:type="dxa"/>
            <w:vAlign w:val="center"/>
          </w:tcPr>
          <w:p>
            <w:pPr>
              <w:spacing w:line="400" w:lineRule="exact"/>
              <w:jc w:val="center"/>
              <w:rPr>
                <w:rFonts w:ascii="宋体" w:cs="仿宋"/>
                <w:sz w:val="24"/>
                <w:szCs w:val="28"/>
              </w:rPr>
            </w:pPr>
            <w:r>
              <w:rPr>
                <w:rFonts w:ascii="宋体" w:hAnsi="宋体" w:cs="仿宋"/>
                <w:sz w:val="24"/>
                <w:szCs w:val="28"/>
              </w:rPr>
              <w:t>2500</w:t>
            </w:r>
          </w:p>
        </w:tc>
        <w:tc>
          <w:tcPr>
            <w:tcW w:w="1662" w:type="dxa"/>
            <w:vAlign w:val="center"/>
          </w:tcPr>
          <w:p>
            <w:pPr>
              <w:spacing w:line="4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07" w:type="dxa"/>
            <w:vAlign w:val="center"/>
          </w:tcPr>
          <w:p>
            <w:pPr>
              <w:spacing w:line="400" w:lineRule="exact"/>
              <w:jc w:val="center"/>
              <w:rPr>
                <w:rFonts w:ascii="宋体" w:cs="仿宋"/>
                <w:sz w:val="24"/>
                <w:szCs w:val="28"/>
              </w:rPr>
            </w:pPr>
            <w:r>
              <w:rPr>
                <w:rFonts w:ascii="宋体" w:hAnsi="宋体" w:cs="仿宋"/>
                <w:sz w:val="24"/>
                <w:szCs w:val="28"/>
              </w:rPr>
              <w:t>2</w:t>
            </w:r>
          </w:p>
        </w:tc>
        <w:tc>
          <w:tcPr>
            <w:tcW w:w="1685" w:type="dxa"/>
            <w:vAlign w:val="center"/>
          </w:tcPr>
          <w:p>
            <w:pPr>
              <w:spacing w:line="400" w:lineRule="exact"/>
              <w:jc w:val="center"/>
              <w:rPr>
                <w:rFonts w:ascii="宋体" w:cs="仿宋"/>
                <w:sz w:val="24"/>
                <w:szCs w:val="28"/>
              </w:rPr>
            </w:pPr>
            <w:r>
              <w:rPr>
                <w:rFonts w:hint="eastAsia" w:ascii="宋体" w:hAnsi="宋体" w:cs="仿宋"/>
                <w:sz w:val="24"/>
                <w:szCs w:val="28"/>
              </w:rPr>
              <w:t>建设投资</w:t>
            </w:r>
          </w:p>
        </w:tc>
        <w:tc>
          <w:tcPr>
            <w:tcW w:w="1125" w:type="dxa"/>
            <w:vAlign w:val="center"/>
          </w:tcPr>
          <w:p>
            <w:pPr>
              <w:spacing w:line="400" w:lineRule="exact"/>
              <w:jc w:val="center"/>
              <w:rPr>
                <w:rFonts w:ascii="宋体" w:cs="仿宋"/>
                <w:sz w:val="24"/>
                <w:szCs w:val="28"/>
              </w:rPr>
            </w:pPr>
            <w:r>
              <w:rPr>
                <w:rFonts w:hint="eastAsia" w:ascii="宋体" w:hAnsi="宋体" w:cs="仿宋"/>
                <w:sz w:val="24"/>
                <w:szCs w:val="28"/>
              </w:rPr>
              <w:t>万元</w:t>
            </w:r>
          </w:p>
        </w:tc>
        <w:tc>
          <w:tcPr>
            <w:tcW w:w="1165" w:type="dxa"/>
            <w:vAlign w:val="center"/>
          </w:tcPr>
          <w:p>
            <w:pPr>
              <w:spacing w:line="400" w:lineRule="exact"/>
              <w:jc w:val="center"/>
              <w:rPr>
                <w:rFonts w:ascii="宋体" w:cs="仿宋"/>
                <w:sz w:val="24"/>
                <w:szCs w:val="28"/>
              </w:rPr>
            </w:pPr>
            <w:r>
              <w:rPr>
                <w:rFonts w:ascii="宋体" w:hAnsi="宋体" w:cs="仿宋"/>
                <w:sz w:val="24"/>
                <w:szCs w:val="28"/>
              </w:rPr>
              <w:t>2000</w:t>
            </w:r>
          </w:p>
        </w:tc>
        <w:tc>
          <w:tcPr>
            <w:tcW w:w="1662" w:type="dxa"/>
            <w:vAlign w:val="center"/>
          </w:tcPr>
          <w:p>
            <w:pPr>
              <w:spacing w:line="4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07" w:type="dxa"/>
            <w:vAlign w:val="center"/>
          </w:tcPr>
          <w:p>
            <w:pPr>
              <w:spacing w:line="400" w:lineRule="exact"/>
              <w:jc w:val="center"/>
              <w:rPr>
                <w:rFonts w:ascii="宋体" w:cs="仿宋"/>
                <w:sz w:val="24"/>
                <w:szCs w:val="28"/>
              </w:rPr>
            </w:pPr>
            <w:r>
              <w:rPr>
                <w:rFonts w:ascii="宋体" w:hAnsi="宋体" w:cs="仿宋"/>
                <w:sz w:val="24"/>
                <w:szCs w:val="28"/>
              </w:rPr>
              <w:t>3</w:t>
            </w:r>
          </w:p>
        </w:tc>
        <w:tc>
          <w:tcPr>
            <w:tcW w:w="1685" w:type="dxa"/>
            <w:vAlign w:val="center"/>
          </w:tcPr>
          <w:p>
            <w:pPr>
              <w:spacing w:line="400" w:lineRule="exact"/>
              <w:jc w:val="center"/>
              <w:rPr>
                <w:rFonts w:ascii="宋体" w:cs="仿宋"/>
                <w:sz w:val="24"/>
                <w:szCs w:val="28"/>
              </w:rPr>
            </w:pPr>
            <w:r>
              <w:rPr>
                <w:rFonts w:hint="eastAsia" w:ascii="宋体" w:hAnsi="宋体" w:cs="仿宋"/>
                <w:sz w:val="24"/>
                <w:szCs w:val="28"/>
              </w:rPr>
              <w:t>年均销售收入</w:t>
            </w:r>
          </w:p>
        </w:tc>
        <w:tc>
          <w:tcPr>
            <w:tcW w:w="1125" w:type="dxa"/>
            <w:vAlign w:val="center"/>
          </w:tcPr>
          <w:p>
            <w:pPr>
              <w:spacing w:line="400" w:lineRule="exact"/>
              <w:jc w:val="center"/>
              <w:rPr>
                <w:rFonts w:ascii="宋体" w:cs="仿宋"/>
                <w:sz w:val="24"/>
                <w:szCs w:val="28"/>
              </w:rPr>
            </w:pPr>
            <w:r>
              <w:rPr>
                <w:rFonts w:hint="eastAsia" w:ascii="宋体" w:hAnsi="宋体" w:cs="仿宋"/>
                <w:sz w:val="24"/>
                <w:szCs w:val="28"/>
              </w:rPr>
              <w:t>万元</w:t>
            </w:r>
          </w:p>
        </w:tc>
        <w:tc>
          <w:tcPr>
            <w:tcW w:w="1165" w:type="dxa"/>
            <w:vAlign w:val="center"/>
          </w:tcPr>
          <w:p>
            <w:pPr>
              <w:spacing w:line="400" w:lineRule="exact"/>
              <w:jc w:val="center"/>
              <w:rPr>
                <w:rFonts w:ascii="宋体" w:cs="仿宋"/>
                <w:sz w:val="24"/>
                <w:szCs w:val="28"/>
              </w:rPr>
            </w:pPr>
            <w:r>
              <w:rPr>
                <w:rFonts w:ascii="宋体" w:hAnsi="宋体" w:cs="仿宋"/>
                <w:sz w:val="24"/>
                <w:szCs w:val="28"/>
              </w:rPr>
              <w:t>5000</w:t>
            </w:r>
          </w:p>
        </w:tc>
        <w:tc>
          <w:tcPr>
            <w:tcW w:w="1662" w:type="dxa"/>
            <w:vAlign w:val="center"/>
          </w:tcPr>
          <w:p>
            <w:pPr>
              <w:spacing w:line="4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07" w:type="dxa"/>
            <w:vAlign w:val="center"/>
          </w:tcPr>
          <w:p>
            <w:pPr>
              <w:spacing w:line="400" w:lineRule="exact"/>
              <w:jc w:val="center"/>
              <w:rPr>
                <w:rFonts w:ascii="宋体" w:cs="仿宋"/>
                <w:sz w:val="24"/>
                <w:szCs w:val="28"/>
              </w:rPr>
            </w:pPr>
            <w:r>
              <w:rPr>
                <w:rFonts w:ascii="宋体" w:hAnsi="宋体" w:cs="仿宋"/>
                <w:sz w:val="24"/>
                <w:szCs w:val="28"/>
              </w:rPr>
              <w:t>4</w:t>
            </w:r>
          </w:p>
        </w:tc>
        <w:tc>
          <w:tcPr>
            <w:tcW w:w="1685" w:type="dxa"/>
            <w:vAlign w:val="center"/>
          </w:tcPr>
          <w:p>
            <w:pPr>
              <w:spacing w:line="400" w:lineRule="exact"/>
              <w:jc w:val="center"/>
              <w:rPr>
                <w:rFonts w:ascii="宋体" w:cs="仿宋"/>
                <w:sz w:val="24"/>
                <w:szCs w:val="28"/>
              </w:rPr>
            </w:pPr>
            <w:r>
              <w:rPr>
                <w:rFonts w:hint="eastAsia" w:ascii="宋体" w:hAnsi="宋体" w:cs="仿宋"/>
                <w:sz w:val="24"/>
                <w:szCs w:val="28"/>
              </w:rPr>
              <w:t>年均总成本</w:t>
            </w:r>
          </w:p>
        </w:tc>
        <w:tc>
          <w:tcPr>
            <w:tcW w:w="1125" w:type="dxa"/>
            <w:vAlign w:val="center"/>
          </w:tcPr>
          <w:p>
            <w:pPr>
              <w:spacing w:line="400" w:lineRule="exact"/>
              <w:jc w:val="center"/>
              <w:rPr>
                <w:rFonts w:ascii="宋体" w:cs="仿宋"/>
                <w:sz w:val="24"/>
                <w:szCs w:val="28"/>
              </w:rPr>
            </w:pPr>
            <w:r>
              <w:rPr>
                <w:rFonts w:hint="eastAsia" w:ascii="宋体" w:hAnsi="宋体" w:cs="仿宋"/>
                <w:sz w:val="24"/>
                <w:szCs w:val="28"/>
              </w:rPr>
              <w:t>万元</w:t>
            </w:r>
          </w:p>
        </w:tc>
        <w:tc>
          <w:tcPr>
            <w:tcW w:w="1165" w:type="dxa"/>
            <w:vAlign w:val="center"/>
          </w:tcPr>
          <w:p>
            <w:pPr>
              <w:spacing w:line="400" w:lineRule="exact"/>
              <w:jc w:val="center"/>
              <w:rPr>
                <w:rFonts w:ascii="宋体" w:cs="仿宋"/>
                <w:sz w:val="24"/>
                <w:szCs w:val="28"/>
              </w:rPr>
            </w:pPr>
            <w:r>
              <w:rPr>
                <w:rFonts w:ascii="宋体" w:hAnsi="宋体" w:cs="仿宋"/>
                <w:sz w:val="24"/>
                <w:szCs w:val="28"/>
              </w:rPr>
              <w:t>3800</w:t>
            </w:r>
          </w:p>
        </w:tc>
        <w:tc>
          <w:tcPr>
            <w:tcW w:w="1662" w:type="dxa"/>
            <w:vAlign w:val="center"/>
          </w:tcPr>
          <w:p>
            <w:pPr>
              <w:spacing w:line="4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07" w:type="dxa"/>
            <w:vAlign w:val="center"/>
          </w:tcPr>
          <w:p>
            <w:pPr>
              <w:spacing w:line="400" w:lineRule="exact"/>
              <w:jc w:val="center"/>
              <w:rPr>
                <w:rFonts w:ascii="宋体" w:cs="仿宋"/>
                <w:sz w:val="24"/>
                <w:szCs w:val="28"/>
              </w:rPr>
            </w:pPr>
            <w:r>
              <w:rPr>
                <w:rFonts w:ascii="宋体" w:hAnsi="宋体" w:cs="仿宋"/>
                <w:sz w:val="24"/>
                <w:szCs w:val="28"/>
              </w:rPr>
              <w:t>5</w:t>
            </w:r>
          </w:p>
        </w:tc>
        <w:tc>
          <w:tcPr>
            <w:tcW w:w="1685" w:type="dxa"/>
            <w:vAlign w:val="center"/>
          </w:tcPr>
          <w:p>
            <w:pPr>
              <w:spacing w:line="400" w:lineRule="exact"/>
              <w:jc w:val="center"/>
              <w:rPr>
                <w:rFonts w:ascii="宋体" w:cs="仿宋"/>
                <w:sz w:val="24"/>
                <w:szCs w:val="28"/>
              </w:rPr>
            </w:pPr>
            <w:r>
              <w:rPr>
                <w:rFonts w:hint="eastAsia" w:ascii="宋体" w:hAnsi="宋体" w:cs="仿宋"/>
                <w:sz w:val="24"/>
                <w:szCs w:val="28"/>
              </w:rPr>
              <w:t>年均利润总额</w:t>
            </w:r>
          </w:p>
        </w:tc>
        <w:tc>
          <w:tcPr>
            <w:tcW w:w="1125" w:type="dxa"/>
            <w:vAlign w:val="center"/>
          </w:tcPr>
          <w:p>
            <w:pPr>
              <w:spacing w:line="400" w:lineRule="exact"/>
              <w:jc w:val="center"/>
              <w:rPr>
                <w:rFonts w:ascii="宋体" w:cs="仿宋"/>
                <w:sz w:val="24"/>
                <w:szCs w:val="28"/>
              </w:rPr>
            </w:pPr>
            <w:r>
              <w:rPr>
                <w:rFonts w:hint="eastAsia" w:ascii="宋体" w:hAnsi="宋体" w:cs="仿宋"/>
                <w:sz w:val="24"/>
                <w:szCs w:val="28"/>
              </w:rPr>
              <w:t>万元</w:t>
            </w:r>
          </w:p>
        </w:tc>
        <w:tc>
          <w:tcPr>
            <w:tcW w:w="1165" w:type="dxa"/>
            <w:vAlign w:val="center"/>
          </w:tcPr>
          <w:p>
            <w:pPr>
              <w:spacing w:line="400" w:lineRule="exact"/>
              <w:jc w:val="center"/>
              <w:rPr>
                <w:rFonts w:ascii="宋体" w:cs="仿宋"/>
                <w:sz w:val="24"/>
                <w:szCs w:val="28"/>
              </w:rPr>
            </w:pPr>
            <w:r>
              <w:rPr>
                <w:rFonts w:ascii="宋体" w:hAnsi="宋体" w:cs="仿宋"/>
                <w:sz w:val="24"/>
                <w:szCs w:val="28"/>
              </w:rPr>
              <w:t>1200</w:t>
            </w:r>
          </w:p>
        </w:tc>
        <w:tc>
          <w:tcPr>
            <w:tcW w:w="1662" w:type="dxa"/>
            <w:vAlign w:val="center"/>
          </w:tcPr>
          <w:p>
            <w:pPr>
              <w:spacing w:line="40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07" w:type="dxa"/>
            <w:vAlign w:val="center"/>
          </w:tcPr>
          <w:p>
            <w:pPr>
              <w:spacing w:line="400" w:lineRule="exact"/>
              <w:jc w:val="center"/>
              <w:rPr>
                <w:rFonts w:ascii="宋体" w:cs="仿宋"/>
                <w:sz w:val="24"/>
                <w:szCs w:val="28"/>
              </w:rPr>
            </w:pPr>
            <w:r>
              <w:rPr>
                <w:rFonts w:ascii="宋体" w:hAnsi="宋体" w:cs="仿宋"/>
                <w:sz w:val="24"/>
                <w:szCs w:val="28"/>
              </w:rPr>
              <w:t>6</w:t>
            </w:r>
          </w:p>
        </w:tc>
        <w:tc>
          <w:tcPr>
            <w:tcW w:w="1685" w:type="dxa"/>
            <w:vAlign w:val="center"/>
          </w:tcPr>
          <w:p>
            <w:pPr>
              <w:spacing w:line="400" w:lineRule="exact"/>
              <w:jc w:val="center"/>
              <w:rPr>
                <w:rFonts w:ascii="宋体" w:cs="仿宋"/>
                <w:sz w:val="24"/>
                <w:szCs w:val="28"/>
              </w:rPr>
            </w:pPr>
            <w:r>
              <w:rPr>
                <w:rFonts w:hint="eastAsia" w:ascii="宋体" w:hAnsi="宋体" w:cs="仿宋"/>
                <w:sz w:val="24"/>
                <w:szCs w:val="28"/>
              </w:rPr>
              <w:t>年均税后利润</w:t>
            </w:r>
          </w:p>
        </w:tc>
        <w:tc>
          <w:tcPr>
            <w:tcW w:w="1125" w:type="dxa"/>
            <w:vAlign w:val="center"/>
          </w:tcPr>
          <w:p>
            <w:pPr>
              <w:spacing w:line="400" w:lineRule="exact"/>
              <w:jc w:val="center"/>
              <w:rPr>
                <w:rFonts w:ascii="宋体" w:cs="仿宋"/>
                <w:sz w:val="24"/>
                <w:szCs w:val="28"/>
              </w:rPr>
            </w:pPr>
            <w:r>
              <w:rPr>
                <w:rFonts w:hint="eastAsia" w:ascii="宋体" w:hAnsi="宋体" w:cs="仿宋"/>
                <w:sz w:val="24"/>
                <w:szCs w:val="28"/>
              </w:rPr>
              <w:t>万元</w:t>
            </w:r>
          </w:p>
        </w:tc>
        <w:tc>
          <w:tcPr>
            <w:tcW w:w="1165" w:type="dxa"/>
            <w:vAlign w:val="center"/>
          </w:tcPr>
          <w:p>
            <w:pPr>
              <w:spacing w:line="400" w:lineRule="exact"/>
              <w:jc w:val="center"/>
              <w:rPr>
                <w:rFonts w:ascii="宋体" w:cs="仿宋"/>
                <w:sz w:val="24"/>
                <w:szCs w:val="28"/>
              </w:rPr>
            </w:pPr>
            <w:r>
              <w:rPr>
                <w:rFonts w:ascii="宋体" w:hAnsi="宋体" w:cs="仿宋"/>
                <w:sz w:val="24"/>
                <w:szCs w:val="28"/>
              </w:rPr>
              <w:t>1000</w:t>
            </w:r>
          </w:p>
        </w:tc>
        <w:tc>
          <w:tcPr>
            <w:tcW w:w="1662" w:type="dxa"/>
            <w:vAlign w:val="center"/>
          </w:tcPr>
          <w:p>
            <w:pPr>
              <w:spacing w:line="400" w:lineRule="exact"/>
              <w:jc w:val="center"/>
              <w:rPr>
                <w:rFonts w:ascii="宋体" w:cs="仿宋"/>
                <w:sz w:val="24"/>
                <w:szCs w:val="28"/>
              </w:rPr>
            </w:pPr>
          </w:p>
        </w:tc>
      </w:tr>
    </w:tbl>
    <w:p>
      <w:pPr>
        <w:rPr>
          <w:rFonts w:hint="eastAsia"/>
        </w:rPr>
      </w:pPr>
    </w:p>
    <w:p>
      <w:pPr>
        <w:spacing w:line="560" w:lineRule="exact"/>
        <w:rPr>
          <w:rFonts w:ascii="宋体" w:cs="仿宋"/>
          <w:sz w:val="28"/>
          <w:szCs w:val="28"/>
        </w:rPr>
      </w:pPr>
      <w:r>
        <w:rPr>
          <w:rFonts w:ascii="宋体" w:hAnsi="宋体" w:cs="仿宋"/>
          <w:b/>
          <w:bCs/>
          <w:sz w:val="28"/>
          <w:szCs w:val="28"/>
        </w:rPr>
        <w:t>2.</w:t>
      </w:r>
      <w:r>
        <w:rPr>
          <w:rFonts w:hint="eastAsia" w:ascii="宋体" w:hAnsi="宋体" w:cs="仿宋"/>
          <w:b/>
          <w:bCs/>
          <w:sz w:val="28"/>
          <w:szCs w:val="28"/>
        </w:rPr>
        <w:t>饼干、沙琪玛、蛋卷等休闲食品加工项目投资估算及主要技术经济指标</w:t>
      </w:r>
    </w:p>
    <w:tbl>
      <w:tblPr>
        <w:tblStyle w:val="12"/>
        <w:tblW w:w="784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42"/>
        <w:gridCol w:w="2438"/>
        <w:gridCol w:w="1475"/>
        <w:gridCol w:w="1610"/>
        <w:gridCol w:w="13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942" w:type="dxa"/>
            <w:vAlign w:val="center"/>
          </w:tcPr>
          <w:p>
            <w:pPr>
              <w:spacing w:line="440" w:lineRule="exact"/>
              <w:jc w:val="center"/>
              <w:rPr>
                <w:rFonts w:ascii="宋体" w:cs="仿宋"/>
                <w:sz w:val="24"/>
                <w:szCs w:val="28"/>
              </w:rPr>
            </w:pPr>
            <w:r>
              <w:rPr>
                <w:rFonts w:hint="eastAsia" w:ascii="宋体" w:hAnsi="宋体" w:cs="仿宋"/>
                <w:sz w:val="24"/>
                <w:szCs w:val="28"/>
              </w:rPr>
              <w:t>序号</w:t>
            </w:r>
          </w:p>
        </w:tc>
        <w:tc>
          <w:tcPr>
            <w:tcW w:w="2438" w:type="dxa"/>
            <w:vAlign w:val="center"/>
          </w:tcPr>
          <w:p>
            <w:pPr>
              <w:spacing w:line="440" w:lineRule="exact"/>
              <w:jc w:val="center"/>
              <w:rPr>
                <w:rFonts w:ascii="宋体" w:cs="仿宋"/>
                <w:sz w:val="24"/>
                <w:szCs w:val="28"/>
              </w:rPr>
            </w:pPr>
            <w:r>
              <w:rPr>
                <w:rFonts w:hint="eastAsia" w:ascii="宋体" w:hAnsi="宋体" w:cs="仿宋"/>
                <w:sz w:val="24"/>
                <w:szCs w:val="28"/>
              </w:rPr>
              <w:t>项目名称</w:t>
            </w:r>
          </w:p>
        </w:tc>
        <w:tc>
          <w:tcPr>
            <w:tcW w:w="1475" w:type="dxa"/>
            <w:vAlign w:val="center"/>
          </w:tcPr>
          <w:p>
            <w:pPr>
              <w:spacing w:line="440" w:lineRule="exact"/>
              <w:jc w:val="center"/>
              <w:rPr>
                <w:rFonts w:ascii="宋体" w:cs="仿宋"/>
                <w:sz w:val="24"/>
                <w:szCs w:val="28"/>
              </w:rPr>
            </w:pPr>
            <w:r>
              <w:rPr>
                <w:rFonts w:hint="eastAsia" w:ascii="宋体" w:hAnsi="宋体" w:cs="仿宋"/>
                <w:sz w:val="24"/>
                <w:szCs w:val="28"/>
              </w:rPr>
              <w:t>单位</w:t>
            </w:r>
          </w:p>
        </w:tc>
        <w:tc>
          <w:tcPr>
            <w:tcW w:w="1610" w:type="dxa"/>
            <w:vAlign w:val="center"/>
          </w:tcPr>
          <w:p>
            <w:pPr>
              <w:spacing w:line="440" w:lineRule="exact"/>
              <w:jc w:val="center"/>
              <w:rPr>
                <w:rFonts w:ascii="宋体" w:cs="仿宋"/>
                <w:sz w:val="24"/>
                <w:szCs w:val="28"/>
              </w:rPr>
            </w:pPr>
            <w:r>
              <w:rPr>
                <w:rFonts w:hint="eastAsia" w:ascii="宋体" w:hAnsi="宋体" w:cs="仿宋"/>
                <w:sz w:val="24"/>
                <w:szCs w:val="28"/>
              </w:rPr>
              <w:t>数量</w:t>
            </w:r>
          </w:p>
        </w:tc>
        <w:tc>
          <w:tcPr>
            <w:tcW w:w="1379" w:type="dxa"/>
            <w:vAlign w:val="center"/>
          </w:tcPr>
          <w:p>
            <w:pPr>
              <w:spacing w:line="440" w:lineRule="exact"/>
              <w:jc w:val="center"/>
              <w:rPr>
                <w:rFonts w:ascii="宋体" w:cs="仿宋"/>
                <w:sz w:val="24"/>
                <w:szCs w:val="28"/>
              </w:rPr>
            </w:pPr>
            <w:r>
              <w:rPr>
                <w:rFonts w:hint="eastAsia" w:ascii="宋体" w:hAnsi="宋体" w:cs="仿宋"/>
                <w:sz w:val="24"/>
                <w:szCs w:val="28"/>
              </w:rPr>
              <w:t>备</w:t>
            </w:r>
            <w:r>
              <w:rPr>
                <w:rFonts w:ascii="宋体" w:hAnsi="宋体" w:cs="仿宋"/>
                <w:sz w:val="24"/>
                <w:szCs w:val="28"/>
              </w:rPr>
              <w:t xml:space="preserve">  </w:t>
            </w:r>
            <w:r>
              <w:rPr>
                <w:rFonts w:hint="eastAsia" w:ascii="宋体" w:hAnsi="宋体" w:cs="仿宋"/>
                <w:sz w:val="24"/>
                <w:szCs w:val="28"/>
              </w:rPr>
              <w:t>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42" w:type="dxa"/>
            <w:vAlign w:val="center"/>
          </w:tcPr>
          <w:p>
            <w:pPr>
              <w:spacing w:line="440" w:lineRule="exact"/>
              <w:jc w:val="center"/>
              <w:rPr>
                <w:rFonts w:ascii="宋体" w:cs="仿宋"/>
                <w:sz w:val="24"/>
                <w:szCs w:val="28"/>
              </w:rPr>
            </w:pPr>
            <w:r>
              <w:rPr>
                <w:rFonts w:ascii="宋体" w:hAnsi="宋体" w:cs="仿宋"/>
                <w:sz w:val="24"/>
                <w:szCs w:val="28"/>
              </w:rPr>
              <w:t>1</w:t>
            </w:r>
          </w:p>
        </w:tc>
        <w:tc>
          <w:tcPr>
            <w:tcW w:w="2438" w:type="dxa"/>
            <w:vAlign w:val="center"/>
          </w:tcPr>
          <w:p>
            <w:pPr>
              <w:spacing w:line="440" w:lineRule="exact"/>
              <w:jc w:val="center"/>
              <w:rPr>
                <w:rFonts w:ascii="宋体" w:cs="仿宋"/>
                <w:sz w:val="24"/>
                <w:szCs w:val="28"/>
              </w:rPr>
            </w:pPr>
            <w:r>
              <w:rPr>
                <w:rFonts w:hint="eastAsia" w:ascii="宋体" w:hAnsi="宋体" w:cs="仿宋"/>
                <w:sz w:val="24"/>
                <w:szCs w:val="28"/>
              </w:rPr>
              <w:t>总投资</w:t>
            </w:r>
          </w:p>
        </w:tc>
        <w:tc>
          <w:tcPr>
            <w:tcW w:w="1475" w:type="dxa"/>
            <w:vAlign w:val="center"/>
          </w:tcPr>
          <w:p>
            <w:pPr>
              <w:spacing w:line="440" w:lineRule="exact"/>
              <w:jc w:val="center"/>
              <w:rPr>
                <w:rFonts w:ascii="宋体" w:cs="仿宋"/>
                <w:sz w:val="24"/>
                <w:szCs w:val="28"/>
              </w:rPr>
            </w:pPr>
            <w:r>
              <w:rPr>
                <w:rFonts w:hint="eastAsia" w:ascii="宋体" w:hAnsi="宋体" w:cs="仿宋"/>
                <w:sz w:val="24"/>
                <w:szCs w:val="28"/>
              </w:rPr>
              <w:t>万元</w:t>
            </w:r>
          </w:p>
        </w:tc>
        <w:tc>
          <w:tcPr>
            <w:tcW w:w="1610" w:type="dxa"/>
            <w:vAlign w:val="center"/>
          </w:tcPr>
          <w:p>
            <w:pPr>
              <w:spacing w:line="440" w:lineRule="exact"/>
              <w:jc w:val="center"/>
              <w:rPr>
                <w:rFonts w:ascii="宋体" w:cs="仿宋"/>
                <w:sz w:val="24"/>
                <w:szCs w:val="28"/>
              </w:rPr>
            </w:pPr>
            <w:r>
              <w:rPr>
                <w:rFonts w:ascii="宋体" w:hAnsi="宋体" w:cs="仿宋"/>
                <w:sz w:val="24"/>
                <w:szCs w:val="28"/>
              </w:rPr>
              <w:t>2</w:t>
            </w:r>
            <w:r>
              <w:rPr>
                <w:rFonts w:hint="eastAsia" w:ascii="宋体" w:hAnsi="宋体" w:cs="仿宋"/>
                <w:sz w:val="24"/>
                <w:szCs w:val="28"/>
              </w:rPr>
              <w:t>500</w:t>
            </w:r>
          </w:p>
        </w:tc>
        <w:tc>
          <w:tcPr>
            <w:tcW w:w="1379" w:type="dxa"/>
            <w:vAlign w:val="center"/>
          </w:tcPr>
          <w:p>
            <w:pPr>
              <w:spacing w:line="44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42" w:type="dxa"/>
            <w:vAlign w:val="center"/>
          </w:tcPr>
          <w:p>
            <w:pPr>
              <w:spacing w:line="440" w:lineRule="exact"/>
              <w:jc w:val="center"/>
              <w:rPr>
                <w:rFonts w:ascii="宋体" w:cs="仿宋"/>
                <w:sz w:val="24"/>
                <w:szCs w:val="28"/>
              </w:rPr>
            </w:pPr>
            <w:r>
              <w:rPr>
                <w:rFonts w:ascii="宋体" w:hAnsi="宋体" w:cs="仿宋"/>
                <w:sz w:val="24"/>
                <w:szCs w:val="28"/>
              </w:rPr>
              <w:t>2</w:t>
            </w:r>
          </w:p>
        </w:tc>
        <w:tc>
          <w:tcPr>
            <w:tcW w:w="2438" w:type="dxa"/>
            <w:vAlign w:val="center"/>
          </w:tcPr>
          <w:p>
            <w:pPr>
              <w:spacing w:line="440" w:lineRule="exact"/>
              <w:jc w:val="center"/>
              <w:rPr>
                <w:rFonts w:ascii="宋体" w:cs="仿宋"/>
                <w:sz w:val="24"/>
                <w:szCs w:val="28"/>
              </w:rPr>
            </w:pPr>
            <w:r>
              <w:rPr>
                <w:rFonts w:hint="eastAsia" w:ascii="宋体" w:hAnsi="宋体" w:cs="仿宋"/>
                <w:sz w:val="24"/>
                <w:szCs w:val="28"/>
              </w:rPr>
              <w:t>建设投资</w:t>
            </w:r>
          </w:p>
        </w:tc>
        <w:tc>
          <w:tcPr>
            <w:tcW w:w="1475" w:type="dxa"/>
            <w:vAlign w:val="center"/>
          </w:tcPr>
          <w:p>
            <w:pPr>
              <w:spacing w:line="440" w:lineRule="exact"/>
              <w:jc w:val="center"/>
              <w:rPr>
                <w:rFonts w:ascii="宋体" w:cs="仿宋"/>
                <w:sz w:val="24"/>
                <w:szCs w:val="28"/>
              </w:rPr>
            </w:pPr>
            <w:r>
              <w:rPr>
                <w:rFonts w:hint="eastAsia" w:ascii="宋体" w:hAnsi="宋体" w:cs="仿宋"/>
                <w:sz w:val="24"/>
                <w:szCs w:val="28"/>
              </w:rPr>
              <w:t>万元</w:t>
            </w:r>
          </w:p>
        </w:tc>
        <w:tc>
          <w:tcPr>
            <w:tcW w:w="1610" w:type="dxa"/>
            <w:vAlign w:val="center"/>
          </w:tcPr>
          <w:p>
            <w:pPr>
              <w:spacing w:line="440" w:lineRule="exact"/>
              <w:jc w:val="center"/>
              <w:rPr>
                <w:rFonts w:ascii="宋体" w:cs="仿宋"/>
                <w:sz w:val="24"/>
                <w:szCs w:val="28"/>
              </w:rPr>
            </w:pPr>
            <w:r>
              <w:rPr>
                <w:rFonts w:ascii="宋体" w:hAnsi="宋体" w:cs="仿宋"/>
                <w:sz w:val="24"/>
                <w:szCs w:val="28"/>
              </w:rPr>
              <w:t>2000</w:t>
            </w:r>
          </w:p>
        </w:tc>
        <w:tc>
          <w:tcPr>
            <w:tcW w:w="1379" w:type="dxa"/>
            <w:vAlign w:val="center"/>
          </w:tcPr>
          <w:p>
            <w:pPr>
              <w:spacing w:line="44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42" w:type="dxa"/>
            <w:vAlign w:val="center"/>
          </w:tcPr>
          <w:p>
            <w:pPr>
              <w:spacing w:line="440" w:lineRule="exact"/>
              <w:jc w:val="center"/>
              <w:rPr>
                <w:rFonts w:ascii="宋体" w:cs="仿宋"/>
                <w:sz w:val="24"/>
                <w:szCs w:val="28"/>
              </w:rPr>
            </w:pPr>
            <w:r>
              <w:rPr>
                <w:rFonts w:ascii="宋体" w:hAnsi="宋体" w:cs="仿宋"/>
                <w:sz w:val="24"/>
                <w:szCs w:val="28"/>
              </w:rPr>
              <w:t>3</w:t>
            </w:r>
          </w:p>
        </w:tc>
        <w:tc>
          <w:tcPr>
            <w:tcW w:w="2438" w:type="dxa"/>
            <w:vAlign w:val="center"/>
          </w:tcPr>
          <w:p>
            <w:pPr>
              <w:spacing w:line="440" w:lineRule="exact"/>
              <w:jc w:val="center"/>
              <w:rPr>
                <w:rFonts w:ascii="宋体" w:cs="仿宋"/>
                <w:sz w:val="24"/>
                <w:szCs w:val="28"/>
              </w:rPr>
            </w:pPr>
            <w:r>
              <w:rPr>
                <w:rFonts w:hint="eastAsia" w:ascii="宋体" w:hAnsi="宋体" w:cs="仿宋"/>
                <w:sz w:val="24"/>
                <w:szCs w:val="28"/>
              </w:rPr>
              <w:t>年均销售收入</w:t>
            </w:r>
          </w:p>
        </w:tc>
        <w:tc>
          <w:tcPr>
            <w:tcW w:w="1475" w:type="dxa"/>
            <w:vAlign w:val="center"/>
          </w:tcPr>
          <w:p>
            <w:pPr>
              <w:spacing w:line="440" w:lineRule="exact"/>
              <w:jc w:val="center"/>
              <w:rPr>
                <w:rFonts w:ascii="宋体" w:cs="仿宋"/>
                <w:sz w:val="24"/>
                <w:szCs w:val="28"/>
              </w:rPr>
            </w:pPr>
            <w:r>
              <w:rPr>
                <w:rFonts w:hint="eastAsia" w:ascii="宋体" w:hAnsi="宋体" w:cs="仿宋"/>
                <w:sz w:val="24"/>
                <w:szCs w:val="28"/>
              </w:rPr>
              <w:t>万元</w:t>
            </w:r>
          </w:p>
        </w:tc>
        <w:tc>
          <w:tcPr>
            <w:tcW w:w="1610" w:type="dxa"/>
            <w:vAlign w:val="center"/>
          </w:tcPr>
          <w:p>
            <w:pPr>
              <w:spacing w:line="440" w:lineRule="exact"/>
              <w:jc w:val="center"/>
              <w:rPr>
                <w:rFonts w:ascii="宋体" w:cs="仿宋"/>
                <w:sz w:val="24"/>
                <w:szCs w:val="28"/>
              </w:rPr>
            </w:pPr>
            <w:r>
              <w:rPr>
                <w:rFonts w:ascii="宋体" w:hAnsi="宋体" w:cs="仿宋"/>
                <w:sz w:val="24"/>
                <w:szCs w:val="28"/>
              </w:rPr>
              <w:t>430</w:t>
            </w:r>
            <w:r>
              <w:rPr>
                <w:rFonts w:hint="eastAsia" w:ascii="宋体" w:hAnsi="宋体" w:cs="仿宋"/>
                <w:sz w:val="24"/>
                <w:szCs w:val="28"/>
              </w:rPr>
              <w:t>0</w:t>
            </w:r>
          </w:p>
        </w:tc>
        <w:tc>
          <w:tcPr>
            <w:tcW w:w="1379" w:type="dxa"/>
            <w:vAlign w:val="center"/>
          </w:tcPr>
          <w:p>
            <w:pPr>
              <w:spacing w:line="44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42" w:type="dxa"/>
            <w:vAlign w:val="center"/>
          </w:tcPr>
          <w:p>
            <w:pPr>
              <w:spacing w:line="440" w:lineRule="exact"/>
              <w:jc w:val="center"/>
              <w:rPr>
                <w:rFonts w:ascii="宋体" w:cs="仿宋"/>
                <w:sz w:val="24"/>
                <w:szCs w:val="28"/>
              </w:rPr>
            </w:pPr>
            <w:r>
              <w:rPr>
                <w:rFonts w:ascii="宋体" w:hAnsi="宋体" w:cs="仿宋"/>
                <w:sz w:val="24"/>
                <w:szCs w:val="28"/>
              </w:rPr>
              <w:t>4</w:t>
            </w:r>
          </w:p>
        </w:tc>
        <w:tc>
          <w:tcPr>
            <w:tcW w:w="2438" w:type="dxa"/>
            <w:vAlign w:val="center"/>
          </w:tcPr>
          <w:p>
            <w:pPr>
              <w:spacing w:line="440" w:lineRule="exact"/>
              <w:jc w:val="center"/>
              <w:rPr>
                <w:rFonts w:ascii="宋体" w:cs="仿宋"/>
                <w:sz w:val="24"/>
                <w:szCs w:val="28"/>
              </w:rPr>
            </w:pPr>
            <w:r>
              <w:rPr>
                <w:rFonts w:hint="eastAsia" w:ascii="宋体" w:hAnsi="宋体" w:cs="仿宋"/>
                <w:sz w:val="24"/>
                <w:szCs w:val="28"/>
              </w:rPr>
              <w:t>年均总成本</w:t>
            </w:r>
          </w:p>
        </w:tc>
        <w:tc>
          <w:tcPr>
            <w:tcW w:w="1475" w:type="dxa"/>
            <w:vAlign w:val="center"/>
          </w:tcPr>
          <w:p>
            <w:pPr>
              <w:spacing w:line="440" w:lineRule="exact"/>
              <w:jc w:val="center"/>
              <w:rPr>
                <w:rFonts w:ascii="宋体" w:cs="仿宋"/>
                <w:sz w:val="24"/>
                <w:szCs w:val="28"/>
              </w:rPr>
            </w:pPr>
            <w:r>
              <w:rPr>
                <w:rFonts w:hint="eastAsia" w:ascii="宋体" w:hAnsi="宋体" w:cs="仿宋"/>
                <w:sz w:val="24"/>
                <w:szCs w:val="28"/>
              </w:rPr>
              <w:t>万元</w:t>
            </w:r>
          </w:p>
        </w:tc>
        <w:tc>
          <w:tcPr>
            <w:tcW w:w="1610" w:type="dxa"/>
            <w:vAlign w:val="center"/>
          </w:tcPr>
          <w:p>
            <w:pPr>
              <w:spacing w:line="440" w:lineRule="exact"/>
              <w:jc w:val="center"/>
              <w:rPr>
                <w:rFonts w:ascii="宋体" w:cs="仿宋"/>
                <w:sz w:val="24"/>
                <w:szCs w:val="28"/>
              </w:rPr>
            </w:pPr>
            <w:r>
              <w:rPr>
                <w:rFonts w:ascii="宋体" w:hAnsi="宋体" w:cs="仿宋"/>
                <w:sz w:val="24"/>
                <w:szCs w:val="28"/>
              </w:rPr>
              <w:t>3400</w:t>
            </w:r>
          </w:p>
        </w:tc>
        <w:tc>
          <w:tcPr>
            <w:tcW w:w="1379" w:type="dxa"/>
            <w:vAlign w:val="center"/>
          </w:tcPr>
          <w:p>
            <w:pPr>
              <w:spacing w:line="44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42" w:type="dxa"/>
            <w:vAlign w:val="center"/>
          </w:tcPr>
          <w:p>
            <w:pPr>
              <w:spacing w:line="440" w:lineRule="exact"/>
              <w:jc w:val="center"/>
              <w:rPr>
                <w:rFonts w:ascii="宋体" w:cs="仿宋"/>
                <w:sz w:val="24"/>
                <w:szCs w:val="28"/>
              </w:rPr>
            </w:pPr>
            <w:r>
              <w:rPr>
                <w:rFonts w:ascii="宋体" w:hAnsi="宋体" w:cs="仿宋"/>
                <w:sz w:val="24"/>
                <w:szCs w:val="28"/>
              </w:rPr>
              <w:t>5</w:t>
            </w:r>
          </w:p>
        </w:tc>
        <w:tc>
          <w:tcPr>
            <w:tcW w:w="2438" w:type="dxa"/>
            <w:vAlign w:val="center"/>
          </w:tcPr>
          <w:p>
            <w:pPr>
              <w:spacing w:line="440" w:lineRule="exact"/>
              <w:jc w:val="center"/>
              <w:rPr>
                <w:rFonts w:ascii="宋体" w:cs="仿宋"/>
                <w:sz w:val="24"/>
                <w:szCs w:val="28"/>
              </w:rPr>
            </w:pPr>
            <w:r>
              <w:rPr>
                <w:rFonts w:hint="eastAsia" w:ascii="宋体" w:hAnsi="宋体" w:cs="仿宋"/>
                <w:sz w:val="24"/>
                <w:szCs w:val="28"/>
              </w:rPr>
              <w:t>年均利润总额</w:t>
            </w:r>
          </w:p>
        </w:tc>
        <w:tc>
          <w:tcPr>
            <w:tcW w:w="1475" w:type="dxa"/>
            <w:vAlign w:val="center"/>
          </w:tcPr>
          <w:p>
            <w:pPr>
              <w:spacing w:line="440" w:lineRule="exact"/>
              <w:jc w:val="center"/>
              <w:rPr>
                <w:rFonts w:ascii="宋体" w:cs="仿宋"/>
                <w:sz w:val="24"/>
                <w:szCs w:val="28"/>
              </w:rPr>
            </w:pPr>
            <w:r>
              <w:rPr>
                <w:rFonts w:hint="eastAsia" w:ascii="宋体" w:hAnsi="宋体" w:cs="仿宋"/>
                <w:sz w:val="24"/>
                <w:szCs w:val="28"/>
              </w:rPr>
              <w:t>万元</w:t>
            </w:r>
          </w:p>
        </w:tc>
        <w:tc>
          <w:tcPr>
            <w:tcW w:w="1610" w:type="dxa"/>
            <w:vAlign w:val="center"/>
          </w:tcPr>
          <w:p>
            <w:pPr>
              <w:spacing w:line="440" w:lineRule="exact"/>
              <w:jc w:val="center"/>
              <w:rPr>
                <w:rFonts w:ascii="宋体" w:cs="仿宋"/>
                <w:sz w:val="24"/>
                <w:szCs w:val="28"/>
              </w:rPr>
            </w:pPr>
            <w:r>
              <w:rPr>
                <w:rFonts w:ascii="宋体" w:hAnsi="宋体" w:cs="仿宋"/>
                <w:sz w:val="24"/>
                <w:szCs w:val="28"/>
              </w:rPr>
              <w:t>90</w:t>
            </w:r>
            <w:r>
              <w:rPr>
                <w:rFonts w:hint="eastAsia" w:ascii="宋体" w:hAnsi="宋体" w:cs="仿宋"/>
                <w:sz w:val="24"/>
                <w:szCs w:val="28"/>
              </w:rPr>
              <w:t>0</w:t>
            </w:r>
          </w:p>
        </w:tc>
        <w:tc>
          <w:tcPr>
            <w:tcW w:w="1379" w:type="dxa"/>
            <w:vAlign w:val="center"/>
          </w:tcPr>
          <w:p>
            <w:pPr>
              <w:spacing w:line="440" w:lineRule="exact"/>
              <w:jc w:val="center"/>
              <w:rPr>
                <w:rFonts w:ascii="宋体" w:cs="仿宋"/>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42" w:type="dxa"/>
            <w:vAlign w:val="center"/>
          </w:tcPr>
          <w:p>
            <w:pPr>
              <w:spacing w:line="440" w:lineRule="exact"/>
              <w:jc w:val="center"/>
              <w:rPr>
                <w:rFonts w:ascii="宋体" w:cs="仿宋"/>
                <w:sz w:val="24"/>
                <w:szCs w:val="28"/>
              </w:rPr>
            </w:pPr>
            <w:r>
              <w:rPr>
                <w:rFonts w:ascii="宋体" w:hAnsi="宋体" w:cs="仿宋"/>
                <w:sz w:val="24"/>
                <w:szCs w:val="28"/>
              </w:rPr>
              <w:t>6</w:t>
            </w:r>
          </w:p>
        </w:tc>
        <w:tc>
          <w:tcPr>
            <w:tcW w:w="2438" w:type="dxa"/>
            <w:vAlign w:val="center"/>
          </w:tcPr>
          <w:p>
            <w:pPr>
              <w:spacing w:line="440" w:lineRule="exact"/>
              <w:jc w:val="center"/>
              <w:rPr>
                <w:rFonts w:ascii="宋体" w:cs="仿宋"/>
                <w:sz w:val="24"/>
                <w:szCs w:val="28"/>
              </w:rPr>
            </w:pPr>
            <w:r>
              <w:rPr>
                <w:rFonts w:hint="eastAsia" w:ascii="宋体" w:hAnsi="宋体" w:cs="仿宋"/>
                <w:sz w:val="24"/>
                <w:szCs w:val="28"/>
              </w:rPr>
              <w:t>年均税后利润</w:t>
            </w:r>
          </w:p>
        </w:tc>
        <w:tc>
          <w:tcPr>
            <w:tcW w:w="1475" w:type="dxa"/>
            <w:vAlign w:val="center"/>
          </w:tcPr>
          <w:p>
            <w:pPr>
              <w:spacing w:line="440" w:lineRule="exact"/>
              <w:jc w:val="center"/>
              <w:rPr>
                <w:rFonts w:ascii="宋体" w:cs="仿宋"/>
                <w:sz w:val="24"/>
                <w:szCs w:val="28"/>
              </w:rPr>
            </w:pPr>
            <w:r>
              <w:rPr>
                <w:rFonts w:hint="eastAsia" w:ascii="宋体" w:hAnsi="宋体" w:cs="仿宋"/>
                <w:sz w:val="24"/>
                <w:szCs w:val="28"/>
              </w:rPr>
              <w:t>万元</w:t>
            </w:r>
          </w:p>
        </w:tc>
        <w:tc>
          <w:tcPr>
            <w:tcW w:w="1610" w:type="dxa"/>
            <w:vAlign w:val="center"/>
          </w:tcPr>
          <w:p>
            <w:pPr>
              <w:spacing w:line="440" w:lineRule="exact"/>
              <w:jc w:val="center"/>
              <w:rPr>
                <w:rFonts w:ascii="宋体" w:cs="仿宋"/>
                <w:sz w:val="24"/>
                <w:szCs w:val="28"/>
              </w:rPr>
            </w:pPr>
            <w:r>
              <w:rPr>
                <w:rFonts w:ascii="宋体" w:hAnsi="宋体" w:cs="仿宋"/>
                <w:sz w:val="24"/>
                <w:szCs w:val="28"/>
              </w:rPr>
              <w:t>675</w:t>
            </w:r>
          </w:p>
        </w:tc>
        <w:tc>
          <w:tcPr>
            <w:tcW w:w="1379" w:type="dxa"/>
            <w:vAlign w:val="center"/>
          </w:tcPr>
          <w:p>
            <w:pPr>
              <w:spacing w:line="440" w:lineRule="exact"/>
              <w:jc w:val="center"/>
              <w:rPr>
                <w:rFonts w:ascii="宋体" w:cs="仿宋"/>
                <w:sz w:val="24"/>
                <w:szCs w:val="28"/>
              </w:rPr>
            </w:pPr>
          </w:p>
        </w:tc>
      </w:tr>
    </w:tbl>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r>
        <w:rPr>
          <w:rFonts w:hint="eastAsia" w:ascii="宋体" w:hAnsi="宋体"/>
          <w:b/>
          <w:sz w:val="44"/>
          <w:szCs w:val="44"/>
        </w:rPr>
        <w:t>天然有机婴幼儿辅食加工项目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宋体" w:hAnsi="宋体" w:eastAsia="宋体" w:cs="宋体"/>
          <w:b/>
          <w:bCs/>
          <w:sz w:val="44"/>
          <w:szCs w:val="44"/>
        </w:rPr>
      </w:pPr>
    </w:p>
    <w:p>
      <w:pPr>
        <w:widowControl/>
        <w:spacing w:line="520" w:lineRule="exact"/>
        <w:rPr>
          <w:rFonts w:hint="eastAsia" w:ascii="仿宋" w:hAnsi="仿宋" w:eastAsia="仿宋" w:cs="仿宋"/>
          <w:b/>
          <w:bCs/>
          <w:sz w:val="32"/>
          <w:szCs w:val="32"/>
          <w:lang w:eastAsia="zh-CN"/>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sz w:val="32"/>
          <w:szCs w:val="32"/>
        </w:rPr>
        <w:t>婴儿出生4-6个月之后，因生长发育所需的营养增多，单纯喂养母乳或者奶粉无法满足婴幼儿营养需求，目前婴幼儿辅食主要包括以米粉和面条为主的饱腹类辅食、以饼干为主的食品类辅食、以果蔬泥为主的佐餐辅食。其中婴幼儿营养米粉市场份额占比最大，达到50.4%；其次是磨牙棒和果汁果泥产品，占比分别为16.6%和14.8%。我国婴幼儿辅食以饱腹类为主，但副食品类和佐餐类辅食增长也比较快。土地肥沃，日照时间充足，形成了独具特色的硬质小麦、玉米、葵花、瓜果菜、枸杞、黑瓜籽等优质农产品。同时畜牧业发达，</w:t>
      </w:r>
      <w:r>
        <w:rPr>
          <w:rFonts w:hint="eastAsia" w:ascii="仿宋" w:hAnsi="仿宋" w:eastAsia="仿宋" w:cs="仿宋"/>
          <w:color w:val="auto"/>
          <w:sz w:val="32"/>
          <w:szCs w:val="32"/>
        </w:rPr>
        <w:t>20</w:t>
      </w:r>
      <w:r>
        <w:rPr>
          <w:rFonts w:hint="eastAsia" w:ascii="仿宋" w:hAnsi="仿宋" w:eastAsia="仿宋" w:cs="仿宋"/>
          <w:color w:val="auto"/>
          <w:sz w:val="32"/>
          <w:szCs w:val="32"/>
          <w:lang w:val="en-US" w:eastAsia="zh-CN"/>
        </w:rPr>
        <w:t>22</w:t>
      </w:r>
      <w:r>
        <w:rPr>
          <w:rFonts w:hint="eastAsia" w:ascii="仿宋" w:hAnsi="仿宋" w:eastAsia="仿宋" w:cs="仿宋"/>
          <w:color w:val="auto"/>
          <w:sz w:val="32"/>
          <w:szCs w:val="32"/>
        </w:rPr>
        <w:t>年肉羊饲养量达到2</w:t>
      </w:r>
      <w:r>
        <w:rPr>
          <w:rFonts w:hint="eastAsia" w:ascii="仿宋" w:hAnsi="仿宋" w:eastAsia="仿宋" w:cs="仿宋"/>
          <w:color w:val="auto"/>
          <w:sz w:val="32"/>
          <w:szCs w:val="32"/>
          <w:lang w:val="en-US" w:eastAsia="zh-CN"/>
        </w:rPr>
        <w:t>300多</w:t>
      </w:r>
      <w:r>
        <w:rPr>
          <w:rFonts w:hint="eastAsia" w:ascii="仿宋" w:hAnsi="仿宋" w:eastAsia="仿宋" w:cs="仿宋"/>
          <w:color w:val="auto"/>
          <w:sz w:val="32"/>
          <w:szCs w:val="32"/>
        </w:rPr>
        <w:t>万只，</w:t>
      </w:r>
      <w:r>
        <w:rPr>
          <w:rFonts w:hint="eastAsia" w:ascii="仿宋" w:hAnsi="仿宋" w:eastAsia="仿宋" w:cs="仿宋"/>
          <w:color w:val="auto"/>
          <w:sz w:val="32"/>
          <w:szCs w:val="32"/>
          <w:lang w:val="en-US" w:eastAsia="zh-CN"/>
        </w:rPr>
        <w:t>羊</w:t>
      </w:r>
      <w:r>
        <w:rPr>
          <w:rFonts w:hint="eastAsia" w:ascii="仿宋" w:hAnsi="仿宋" w:eastAsia="仿宋" w:cs="仿宋"/>
          <w:color w:val="auto"/>
          <w:sz w:val="32"/>
          <w:szCs w:val="32"/>
        </w:rPr>
        <w:t>出栏12</w:t>
      </w:r>
      <w:r>
        <w:rPr>
          <w:rFonts w:hint="eastAsia" w:ascii="仿宋" w:hAnsi="仿宋" w:eastAsia="仿宋" w:cs="仿宋"/>
          <w:color w:val="auto"/>
          <w:sz w:val="32"/>
          <w:szCs w:val="32"/>
          <w:lang w:val="en-US" w:eastAsia="zh-CN"/>
        </w:rPr>
        <w:t>00多</w:t>
      </w:r>
      <w:r>
        <w:rPr>
          <w:rFonts w:hint="eastAsia" w:ascii="仿宋" w:hAnsi="仿宋" w:eastAsia="仿宋" w:cs="仿宋"/>
          <w:color w:val="auto"/>
          <w:sz w:val="32"/>
          <w:szCs w:val="32"/>
        </w:rPr>
        <w:t>万只</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羊肉产量2</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万吨，</w:t>
      </w:r>
      <w:r>
        <w:rPr>
          <w:rFonts w:hint="eastAsia" w:ascii="仿宋" w:hAnsi="仿宋" w:eastAsia="仿宋" w:cs="仿宋"/>
          <w:sz w:val="32"/>
          <w:szCs w:val="32"/>
        </w:rPr>
        <w:t>出栏量稳居自治区首位。依托优质的农畜产品原料可加工面条、挂面、磨牙棒、胡萝卜片、苹果片、玉米粒、饺子、火腿、早餐牛排等系列婴幼儿辅食和儿童餐食，增加农产品的附加值。</w:t>
      </w:r>
    </w:p>
    <w:p>
      <w:pPr>
        <w:spacing w:line="540" w:lineRule="exact"/>
        <w:rPr>
          <w:rFonts w:hint="default" w:ascii="仿宋" w:hAnsi="仿宋" w:eastAsia="仿宋" w:cs="仿宋"/>
          <w:sz w:val="32"/>
          <w:szCs w:val="32"/>
          <w:lang w:val="en-US"/>
        </w:rPr>
      </w:pPr>
      <w:r>
        <w:rPr>
          <w:rFonts w:hint="eastAsia" w:ascii="仿宋" w:hAnsi="仿宋" w:eastAsia="仿宋" w:cs="仿宋"/>
          <w:b/>
          <w:bCs/>
          <w:sz w:val="32"/>
          <w:szCs w:val="32"/>
        </w:rPr>
        <w:t>建设条件</w:t>
      </w:r>
      <w:r>
        <w:rPr>
          <w:rFonts w:hint="eastAsia" w:ascii="仿宋" w:hAnsi="仿宋" w:eastAsia="仿宋" w:cs="仿宋"/>
          <w:sz w:val="32"/>
          <w:szCs w:val="32"/>
        </w:rPr>
        <w:t>：巴彦淖尔以其独特的自然条件，孕育出了优质的瓜果蔬菜产品，鲜食蔬菜产量高、品质好、无污染，比如加工型番茄可溶性固形物含量高达6%，番茄红素高达 40mg/100g 以上，同时五原灯笼红香瓜、五原黄柿子、河套番茄、河套蜜瓜等8个瓜菜产品为国家农产品地理标志保护产品，34个果蔬产品获得绿色认证，1个蔬菜产品获得有机食品认证。有机绿色的蔬菜水果为以果蔬泥为主的佐餐辅食提供了优质的原料基础。</w:t>
      </w:r>
      <w:r>
        <w:rPr>
          <w:rFonts w:hint="eastAsia" w:ascii="仿宋" w:hAnsi="仿宋" w:eastAsia="仿宋" w:cs="仿宋"/>
          <w:color w:val="auto"/>
          <w:sz w:val="32"/>
          <w:szCs w:val="32"/>
          <w:highlight w:val="none"/>
          <w:lang w:val="en-US" w:eastAsia="zh-CN"/>
        </w:rPr>
        <w:t>2022年全市蔬菜种植面积约34.44万亩，产量约35.92亿斤。</w:t>
      </w:r>
    </w:p>
    <w:p>
      <w:pPr>
        <w:spacing w:line="560" w:lineRule="exact"/>
        <w:rPr>
          <w:rFonts w:hint="eastAsia" w:ascii="仿宋" w:hAnsi="仿宋" w:eastAsia="仿宋" w:cs="仿宋"/>
          <w:b/>
          <w:bCs/>
          <w:sz w:val="32"/>
          <w:szCs w:val="32"/>
        </w:rPr>
      </w:pPr>
    </w:p>
    <w:p>
      <w:pPr>
        <w:spacing w:line="560" w:lineRule="exact"/>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sz w:val="28"/>
          <w:szCs w:val="28"/>
        </w:rPr>
        <w:t>小麦深加工成面条、营养面糊等</w:t>
      </w:r>
      <w:r>
        <w:rPr>
          <w:rFonts w:hint="eastAsia" w:ascii="仿宋" w:hAnsi="仿宋" w:eastAsia="仿宋" w:cs="仿宋"/>
          <w:bCs/>
          <w:sz w:val="28"/>
          <w:szCs w:val="28"/>
        </w:rPr>
        <w:t>天然有机婴幼儿</w:t>
      </w:r>
      <w:r>
        <w:rPr>
          <w:rFonts w:hint="eastAsia" w:ascii="仿宋" w:hAnsi="仿宋" w:eastAsia="仿宋" w:cs="仿宋"/>
          <w:sz w:val="28"/>
          <w:szCs w:val="28"/>
        </w:rPr>
        <w:t>饱腹类辅食供本地及外地市场。</w:t>
      </w:r>
      <w:r>
        <w:rPr>
          <w:rFonts w:hint="eastAsia" w:ascii="仿宋" w:hAnsi="仿宋" w:eastAsia="仿宋" w:cs="仿宋"/>
          <w:bCs/>
          <w:sz w:val="28"/>
          <w:szCs w:val="28"/>
        </w:rPr>
        <w:t>总建筑面积8000平方米，其中厂房建筑面积5000平方米，库房及辅助用房建筑面积3000平方米。</w:t>
      </w:r>
      <w:r>
        <w:rPr>
          <w:rFonts w:hint="eastAsia" w:ascii="仿宋" w:hAnsi="仿宋" w:eastAsia="仿宋" w:cs="仿宋"/>
          <w:sz w:val="28"/>
          <w:szCs w:val="28"/>
        </w:rPr>
        <w:t>运输设备、搅拌机、水泵、压面机、通风机、烘烤机、包装袋、封口机、必要称重、量具、切刀等。</w:t>
      </w:r>
      <w:r>
        <w:rPr>
          <w:rFonts w:hint="eastAsia" w:ascii="仿宋" w:hAnsi="仿宋" w:eastAsia="仿宋" w:cs="仿宋"/>
          <w:sz w:val="28"/>
          <w:szCs w:val="28"/>
          <w:lang w:val="en-US" w:eastAsia="zh-CN"/>
        </w:rPr>
        <w:t>主要原料：有机蔬菜、有机面条</w:t>
      </w:r>
    </w:p>
    <w:p>
      <w:pPr>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宋体" w:hAnsi="宋体" w:cs="宋体"/>
          <w:b/>
          <w:sz w:val="28"/>
          <w:szCs w:val="28"/>
        </w:rPr>
        <w:t>技术经济指标估算</w:t>
      </w:r>
      <w:r>
        <w:rPr>
          <w:rFonts w:hint="eastAsia" w:ascii="仿宋" w:hAnsi="仿宋" w:eastAsia="仿宋" w:cs="仿宋"/>
          <w:sz w:val="32"/>
          <w:szCs w:val="32"/>
        </w:rPr>
        <w:t>：</w:t>
      </w:r>
    </w:p>
    <w:tbl>
      <w:tblPr>
        <w:tblStyle w:val="1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712"/>
        <w:gridCol w:w="1989"/>
        <w:gridCol w:w="1712"/>
        <w:gridCol w:w="1878"/>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序号</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项目名称</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单位</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数量</w:t>
            </w:r>
          </w:p>
        </w:tc>
        <w:tc>
          <w:tcPr>
            <w:tcW w:w="122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备</w:t>
            </w:r>
            <w:r>
              <w:rPr>
                <w:rFonts w:ascii="宋体" w:hAnsi="宋体" w:cs="宋体"/>
                <w:kern w:val="0"/>
                <w:sz w:val="24"/>
                <w:szCs w:val="28"/>
              </w:rPr>
              <w:t xml:space="preserve">  </w:t>
            </w:r>
            <w:r>
              <w:rPr>
                <w:rFonts w:hint="eastAsia" w:ascii="宋体" w:hAnsi="宋体" w:cs="宋体"/>
                <w:kern w:val="0"/>
                <w:sz w:val="24"/>
                <w:szCs w:val="28"/>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1</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总投资</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2560</w:t>
            </w:r>
          </w:p>
        </w:tc>
        <w:tc>
          <w:tcPr>
            <w:tcW w:w="1229" w:type="dxa"/>
            <w:vAlign w:val="center"/>
          </w:tcPr>
          <w:p>
            <w:pPr>
              <w:spacing w:line="440" w:lineRule="exact"/>
              <w:ind w:right="105" w:rightChars="50"/>
              <w:jc w:val="center"/>
              <w:rPr>
                <w:rFonts w:asci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2</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固定资产投资</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206</w:t>
            </w:r>
            <w:r>
              <w:rPr>
                <w:rFonts w:hint="eastAsia" w:ascii="宋体" w:hAnsi="宋体" w:cs="宋体"/>
                <w:kern w:val="0"/>
                <w:sz w:val="24"/>
                <w:szCs w:val="28"/>
              </w:rPr>
              <w:t>0</w:t>
            </w:r>
          </w:p>
        </w:tc>
        <w:tc>
          <w:tcPr>
            <w:tcW w:w="1229" w:type="dxa"/>
            <w:vAlign w:val="center"/>
          </w:tcPr>
          <w:p>
            <w:pPr>
              <w:spacing w:line="440" w:lineRule="exact"/>
              <w:ind w:right="105" w:rightChars="50"/>
              <w:jc w:val="center"/>
              <w:rPr>
                <w:rFonts w:asci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3</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设备投资</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9</w:t>
            </w:r>
            <w:r>
              <w:rPr>
                <w:rFonts w:hint="eastAsia" w:ascii="宋体" w:hAnsi="宋体" w:cs="宋体"/>
                <w:kern w:val="0"/>
                <w:sz w:val="24"/>
                <w:szCs w:val="28"/>
              </w:rPr>
              <w:t>50</w:t>
            </w:r>
          </w:p>
        </w:tc>
        <w:tc>
          <w:tcPr>
            <w:tcW w:w="1229" w:type="dxa"/>
            <w:vAlign w:val="center"/>
          </w:tcPr>
          <w:p>
            <w:pPr>
              <w:spacing w:line="440" w:lineRule="exact"/>
              <w:ind w:right="105" w:rightChars="50"/>
              <w:jc w:val="center"/>
              <w:rPr>
                <w:rFonts w:asci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4</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其他投资</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480</w:t>
            </w:r>
          </w:p>
        </w:tc>
        <w:tc>
          <w:tcPr>
            <w:tcW w:w="1229" w:type="dxa"/>
            <w:vAlign w:val="center"/>
          </w:tcPr>
          <w:p>
            <w:pPr>
              <w:spacing w:line="440" w:lineRule="exact"/>
              <w:ind w:right="105" w:rightChars="50"/>
              <w:jc w:val="center"/>
              <w:rPr>
                <w:rFonts w:asci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5</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收入</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35</w:t>
            </w:r>
            <w:r>
              <w:rPr>
                <w:rFonts w:hint="eastAsia" w:ascii="宋体" w:hAnsi="宋体" w:cs="宋体"/>
                <w:kern w:val="0"/>
                <w:sz w:val="24"/>
                <w:szCs w:val="28"/>
              </w:rPr>
              <w:t>00</w:t>
            </w:r>
          </w:p>
        </w:tc>
        <w:tc>
          <w:tcPr>
            <w:tcW w:w="1229" w:type="dxa"/>
            <w:vAlign w:val="center"/>
          </w:tcPr>
          <w:p>
            <w:pPr>
              <w:spacing w:line="440" w:lineRule="exact"/>
              <w:ind w:right="105" w:rightChars="50"/>
              <w:jc w:val="center"/>
              <w:rPr>
                <w:rFonts w:asci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6</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总成本</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28</w:t>
            </w:r>
            <w:r>
              <w:rPr>
                <w:rFonts w:hint="eastAsia" w:ascii="宋体" w:hAnsi="宋体" w:cs="宋体"/>
                <w:kern w:val="0"/>
                <w:sz w:val="24"/>
                <w:szCs w:val="28"/>
              </w:rPr>
              <w:t>00</w:t>
            </w:r>
          </w:p>
        </w:tc>
        <w:tc>
          <w:tcPr>
            <w:tcW w:w="1229" w:type="dxa"/>
            <w:vAlign w:val="center"/>
          </w:tcPr>
          <w:p>
            <w:pPr>
              <w:spacing w:line="440" w:lineRule="exact"/>
              <w:ind w:right="105" w:rightChars="50"/>
              <w:jc w:val="center"/>
              <w:rPr>
                <w:rFonts w:asci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7</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利润总额</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770</w:t>
            </w:r>
          </w:p>
        </w:tc>
        <w:tc>
          <w:tcPr>
            <w:tcW w:w="1229" w:type="dxa"/>
            <w:vAlign w:val="center"/>
          </w:tcPr>
          <w:p>
            <w:pPr>
              <w:spacing w:line="440" w:lineRule="exact"/>
              <w:ind w:right="105" w:rightChars="50"/>
              <w:jc w:val="center"/>
              <w:rPr>
                <w:rFonts w:asci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0"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8</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净利润</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57</w:t>
            </w:r>
            <w:r>
              <w:rPr>
                <w:rFonts w:hint="eastAsia" w:ascii="宋体" w:hAnsi="宋体" w:cs="宋体"/>
                <w:kern w:val="0"/>
                <w:sz w:val="24"/>
                <w:szCs w:val="28"/>
              </w:rPr>
              <w:t>0</w:t>
            </w:r>
          </w:p>
        </w:tc>
        <w:tc>
          <w:tcPr>
            <w:tcW w:w="1229" w:type="dxa"/>
            <w:vAlign w:val="center"/>
          </w:tcPr>
          <w:p>
            <w:pPr>
              <w:spacing w:line="440" w:lineRule="exact"/>
              <w:ind w:right="105" w:rightChars="50"/>
              <w:jc w:val="center"/>
              <w:rPr>
                <w:rFonts w:asci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trPr>
        <w:tc>
          <w:tcPr>
            <w:tcW w:w="1712"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9</w:t>
            </w:r>
          </w:p>
        </w:tc>
        <w:tc>
          <w:tcPr>
            <w:tcW w:w="1989"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利税总额</w:t>
            </w:r>
          </w:p>
        </w:tc>
        <w:tc>
          <w:tcPr>
            <w:tcW w:w="1712" w:type="dxa"/>
            <w:vAlign w:val="center"/>
          </w:tcPr>
          <w:p>
            <w:pPr>
              <w:widowControl/>
              <w:spacing w:line="440" w:lineRule="exact"/>
              <w:ind w:right="105" w:rightChars="50"/>
              <w:jc w:val="center"/>
              <w:textAlignment w:val="center"/>
              <w:rPr>
                <w:rFonts w:ascii="宋体" w:cs="宋体"/>
                <w:sz w:val="24"/>
                <w:szCs w:val="28"/>
              </w:rPr>
            </w:pPr>
            <w:r>
              <w:rPr>
                <w:rFonts w:hint="eastAsia" w:ascii="宋体" w:hAnsi="宋体" w:cs="宋体"/>
                <w:kern w:val="0"/>
                <w:sz w:val="24"/>
                <w:szCs w:val="28"/>
              </w:rPr>
              <w:t>万元</w:t>
            </w:r>
          </w:p>
        </w:tc>
        <w:tc>
          <w:tcPr>
            <w:tcW w:w="1878" w:type="dxa"/>
            <w:vAlign w:val="center"/>
          </w:tcPr>
          <w:p>
            <w:pPr>
              <w:widowControl/>
              <w:spacing w:line="440" w:lineRule="exact"/>
              <w:ind w:right="105" w:rightChars="50"/>
              <w:jc w:val="center"/>
              <w:textAlignment w:val="center"/>
              <w:rPr>
                <w:rFonts w:ascii="宋体" w:cs="宋体"/>
                <w:sz w:val="24"/>
                <w:szCs w:val="28"/>
              </w:rPr>
            </w:pPr>
            <w:r>
              <w:rPr>
                <w:rFonts w:ascii="宋体" w:hAnsi="宋体" w:cs="宋体"/>
                <w:kern w:val="0"/>
                <w:sz w:val="24"/>
                <w:szCs w:val="28"/>
              </w:rPr>
              <w:t>9</w:t>
            </w:r>
            <w:r>
              <w:rPr>
                <w:rFonts w:hint="eastAsia" w:ascii="宋体" w:hAnsi="宋体" w:cs="宋体"/>
                <w:kern w:val="0"/>
                <w:sz w:val="24"/>
                <w:szCs w:val="28"/>
              </w:rPr>
              <w:t>00</w:t>
            </w:r>
          </w:p>
        </w:tc>
        <w:tc>
          <w:tcPr>
            <w:tcW w:w="1229" w:type="dxa"/>
            <w:vAlign w:val="center"/>
          </w:tcPr>
          <w:p>
            <w:pPr>
              <w:spacing w:line="440" w:lineRule="exact"/>
              <w:ind w:right="105" w:rightChars="50"/>
              <w:jc w:val="center"/>
              <w:rPr>
                <w:rFonts w:ascii="宋体" w:cs="宋体"/>
                <w:sz w:val="24"/>
                <w:szCs w:val="28"/>
              </w:rPr>
            </w:pPr>
          </w:p>
        </w:tc>
      </w:tr>
    </w:tbl>
    <w:p>
      <w:pPr>
        <w:rPr>
          <w:rFonts w:hint="eastAsia"/>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left="0" w:leftChars="0" w:right="0" w:rightChars="0" w:firstLine="0" w:firstLineChars="0"/>
        <w:jc w:val="center"/>
        <w:textAlignment w:val="auto"/>
        <w:outlineLvl w:val="9"/>
        <w:rPr>
          <w:rFonts w:hint="eastAsia" w:ascii="Times New Roman" w:hAnsi="Times New Roman"/>
          <w:b/>
          <w:bCs/>
          <w:kern w:val="44"/>
          <w:sz w:val="44"/>
          <w:szCs w:val="44"/>
        </w:rPr>
      </w:pPr>
      <w:r>
        <w:rPr>
          <w:rFonts w:hint="eastAsia" w:ascii="Times New Roman" w:hAnsi="Times New Roman"/>
          <w:b/>
          <w:bCs/>
          <w:kern w:val="44"/>
          <w:sz w:val="44"/>
          <w:szCs w:val="44"/>
        </w:rPr>
        <w:t>玉米制异麦芽低聚糖项目</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center"/>
        <w:textAlignment w:val="auto"/>
        <w:outlineLvl w:val="9"/>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项目简介：</w:t>
      </w:r>
      <w:r>
        <w:rPr>
          <w:rFonts w:hint="eastAsia" w:ascii="仿宋" w:hAnsi="仿宋" w:eastAsia="仿宋" w:cs="仿宋"/>
          <w:sz w:val="32"/>
          <w:szCs w:val="32"/>
        </w:rPr>
        <w:t>异麦芽低聚糖是以玉米淀粉为原料，采用微生物发酵水解技术制成的新型糖品。它能有效地促进人体肠道内有益菌群双歧杆菌的生长繁殖，促进食物消化，提高肌体免疫力，增加钙、镁等矿物质的吸收，也有良好的抗龋齿性、难发酵性和保湿性等，在食品、医药、饲料工业应用越来越广泛。鉴于异麦芽低聚糖有如此大的功效和优势，有必要将巴彦淖尔市种植的玉米制作为异麦芽低聚糖，延长产业链，提高产品附加值，最大化其效益。</w:t>
      </w:r>
    </w:p>
    <w:p>
      <w:pPr>
        <w:keepNext w:val="0"/>
        <w:keepLines w:val="0"/>
        <w:pageBreakBefore w:val="0"/>
        <w:widowControl w:val="0"/>
        <w:kinsoku/>
        <w:wordWrap/>
        <w:overflowPunct/>
        <w:topLinePunct w:val="0"/>
        <w:autoSpaceDE/>
        <w:autoSpaceDN/>
        <w:bidi w:val="0"/>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巴彦淖尔市现有耕地1100万亩，土壤肥沃、灌溉便利、排水方便、光照充足、热量丰富、降水量少、蒸发量大、昼夜温差大，土壤类型多样，是理想的玉米种植基地，玉米产量高，出粉率高</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：一是年产玉米淀粉68万吨生产线；二是年生产30万吨异麦芽低聚糖生产线。玉米100万吨。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
          <w:sz w:val="32"/>
          <w:szCs w:val="32"/>
          <w:lang w:val="en-US" w:eastAsia="zh-CN"/>
        </w:rPr>
        <w:t>总投资11亿元。</w:t>
      </w:r>
      <w:r>
        <w:rPr>
          <w:rFonts w:hint="eastAsia" w:ascii="仿宋" w:hAnsi="仿宋" w:eastAsia="仿宋" w:cs="仿宋"/>
          <w:sz w:val="32"/>
          <w:szCs w:val="32"/>
        </w:rPr>
        <w:t>其中固定资产投资</w:t>
      </w:r>
      <w:r>
        <w:rPr>
          <w:rFonts w:hint="eastAsia" w:ascii="仿宋" w:hAnsi="仿宋" w:eastAsia="仿宋" w:cs="仿宋"/>
          <w:sz w:val="32"/>
          <w:szCs w:val="32"/>
          <w:lang w:val="en-US" w:eastAsia="zh-CN"/>
        </w:rPr>
        <w:t>9</w:t>
      </w:r>
      <w:r>
        <w:rPr>
          <w:rFonts w:hint="eastAsia" w:ascii="仿宋" w:hAnsi="仿宋" w:eastAsia="仿宋" w:cs="仿宋"/>
          <w:sz w:val="32"/>
          <w:szCs w:val="32"/>
        </w:rPr>
        <w:t>亿元，流动资金</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sz w:val="32"/>
          <w:szCs w:val="32"/>
        </w:rPr>
        <w:t>：年均利润总额7</w:t>
      </w:r>
      <w:r>
        <w:rPr>
          <w:rFonts w:hint="eastAsia" w:ascii="仿宋" w:hAnsi="仿宋" w:eastAsia="仿宋" w:cs="仿宋"/>
          <w:sz w:val="32"/>
          <w:szCs w:val="32"/>
          <w:lang w:val="en-US" w:eastAsia="zh-CN"/>
        </w:rPr>
        <w:t>.</w:t>
      </w:r>
      <w:r>
        <w:rPr>
          <w:rFonts w:hint="eastAsia" w:ascii="仿宋" w:hAnsi="仿宋" w:eastAsia="仿宋" w:cs="仿宋"/>
          <w:sz w:val="32"/>
          <w:szCs w:val="32"/>
        </w:rPr>
        <w:t>8</w:t>
      </w:r>
      <w:r>
        <w:rPr>
          <w:rFonts w:hint="eastAsia" w:ascii="仿宋" w:hAnsi="仿宋" w:eastAsia="仿宋" w:cs="仿宋"/>
          <w:sz w:val="32"/>
          <w:szCs w:val="32"/>
          <w:lang w:val="en-US" w:eastAsia="zh-CN"/>
        </w:rPr>
        <w:t>6亿元。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6.29亿元。</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left="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left="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left="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left="0"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宋体" w:hAnsi="宋体" w:eastAsia="宋体" w:cs="宋体"/>
          <w:b/>
          <w:bCs/>
          <w:sz w:val="44"/>
          <w:szCs w:val="44"/>
        </w:rPr>
      </w:pPr>
      <w:r>
        <w:rPr>
          <w:rFonts w:hint="eastAsia" w:ascii="宋体" w:hAnsi="宋体" w:eastAsia="宋体" w:cs="宋体"/>
          <w:b/>
          <w:bCs/>
          <w:sz w:val="44"/>
          <w:szCs w:val="44"/>
        </w:rPr>
        <w:t>年产3万吨玉米高筋粉及系列食品加工项目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36"/>
          <w:szCs w:val="36"/>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该项目选用矿物质和维生素含量较高的鲜甜玉米为原料，经脱粒、榨汁、调配等工艺，生产出特制玉米粉、玉米片、玉米膨化食品、玉米面包、鲜玉米饮料、鲜玉米罐头等。设备投产方式灵活，既可开发单一的产品，也可以开发系列产品。</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建设条件：巴彦淖尔市绿色农牧业资源得天独厚，是全国著名的商品粮基地，玉米种植技术含量低，便于储存，且农民有种植玉米的传统习惯，玉米产量高、质量好，播种面积</w:t>
      </w:r>
      <w:r>
        <w:rPr>
          <w:rFonts w:hint="eastAsia" w:ascii="仿宋" w:hAnsi="仿宋" w:eastAsia="仿宋" w:cs="仿宋"/>
          <w:sz w:val="32"/>
          <w:szCs w:val="32"/>
          <w:lang w:val="en-US" w:eastAsia="zh-CN"/>
        </w:rPr>
        <w:t>600多</w:t>
      </w:r>
      <w:r>
        <w:rPr>
          <w:rFonts w:hint="eastAsia" w:ascii="仿宋" w:hAnsi="仿宋" w:eastAsia="仿宋" w:cs="仿宋"/>
          <w:sz w:val="32"/>
          <w:szCs w:val="32"/>
        </w:rPr>
        <w:t>万亩，产量</w:t>
      </w:r>
      <w:r>
        <w:rPr>
          <w:rFonts w:hint="eastAsia" w:ascii="仿宋" w:hAnsi="仿宋" w:eastAsia="仿宋" w:cs="仿宋"/>
          <w:sz w:val="32"/>
          <w:szCs w:val="32"/>
          <w:lang w:val="en-US" w:eastAsia="zh-CN"/>
        </w:rPr>
        <w:t>达51亿斤</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：年产3万吨玉米高</w:t>
      </w:r>
      <w:r>
        <w:rPr>
          <w:rFonts w:hint="eastAsia" w:ascii="仿宋" w:hAnsi="仿宋" w:eastAsia="仿宋" w:cs="仿宋"/>
          <w:sz w:val="32"/>
          <w:szCs w:val="32"/>
          <w:lang w:val="en-US" w:eastAsia="zh-CN"/>
        </w:rPr>
        <w:t>筋</w:t>
      </w:r>
      <w:r>
        <w:rPr>
          <w:rFonts w:hint="eastAsia" w:ascii="仿宋" w:hAnsi="仿宋" w:eastAsia="仿宋" w:cs="仿宋"/>
          <w:sz w:val="32"/>
          <w:szCs w:val="32"/>
        </w:rPr>
        <w:t>粉及系列食品。</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投资规模</w:t>
      </w:r>
      <w:r>
        <w:rPr>
          <w:rFonts w:hint="eastAsia" w:ascii="仿宋" w:hAnsi="仿宋" w:eastAsia="仿宋" w:cs="仿宋"/>
          <w:sz w:val="32"/>
          <w:szCs w:val="32"/>
        </w:rPr>
        <w:t>：总投资</w:t>
      </w:r>
      <w:r>
        <w:rPr>
          <w:rFonts w:hint="eastAsia" w:ascii="仿宋" w:hAnsi="仿宋" w:eastAsia="仿宋" w:cs="仿宋"/>
          <w:sz w:val="32"/>
          <w:szCs w:val="32"/>
          <w:lang w:val="en-US" w:eastAsia="zh-CN"/>
        </w:rPr>
        <w:t>0.</w:t>
      </w:r>
      <w:r>
        <w:rPr>
          <w:rFonts w:hint="eastAsia" w:ascii="仿宋" w:hAnsi="仿宋" w:eastAsia="仿宋" w:cs="仿宋"/>
          <w:sz w:val="32"/>
          <w:szCs w:val="32"/>
        </w:rPr>
        <w:t>85</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效益分析</w:t>
      </w:r>
      <w:r>
        <w:rPr>
          <w:rFonts w:hint="eastAsia" w:ascii="仿宋" w:hAnsi="仿宋" w:eastAsia="仿宋" w:cs="仿宋"/>
          <w:sz w:val="32"/>
          <w:szCs w:val="32"/>
        </w:rPr>
        <w:t>：销售收入3</w:t>
      </w:r>
      <w:r>
        <w:rPr>
          <w:rFonts w:hint="eastAsia" w:ascii="仿宋" w:hAnsi="仿宋" w:eastAsia="仿宋" w:cs="仿宋"/>
          <w:sz w:val="32"/>
          <w:szCs w:val="32"/>
          <w:lang w:val="en-US" w:eastAsia="zh-CN"/>
        </w:rPr>
        <w:t>.</w:t>
      </w:r>
      <w:r>
        <w:rPr>
          <w:rFonts w:hint="eastAsia" w:ascii="仿宋" w:hAnsi="仿宋" w:eastAsia="仿宋" w:cs="仿宋"/>
          <w:sz w:val="32"/>
          <w:szCs w:val="32"/>
        </w:rPr>
        <w:t>125</w:t>
      </w:r>
      <w:r>
        <w:rPr>
          <w:rFonts w:hint="eastAsia" w:ascii="仿宋" w:hAnsi="仿宋" w:eastAsia="仿宋" w:cs="仿宋"/>
          <w:sz w:val="32"/>
          <w:szCs w:val="32"/>
          <w:lang w:eastAsia="zh-CN"/>
        </w:rPr>
        <w:t>亿</w:t>
      </w:r>
      <w:r>
        <w:rPr>
          <w:rFonts w:hint="eastAsia" w:ascii="仿宋" w:hAnsi="仿宋" w:eastAsia="仿宋" w:cs="仿宋"/>
          <w:sz w:val="32"/>
          <w:szCs w:val="32"/>
        </w:rPr>
        <w:t>元，利润</w:t>
      </w:r>
      <w:r>
        <w:rPr>
          <w:rFonts w:hint="eastAsia" w:ascii="仿宋" w:hAnsi="仿宋" w:eastAsia="仿宋" w:cs="仿宋"/>
          <w:sz w:val="32"/>
          <w:szCs w:val="32"/>
          <w:lang w:val="en-US" w:eastAsia="zh-CN"/>
        </w:rPr>
        <w:t>0.</w:t>
      </w:r>
      <w:r>
        <w:rPr>
          <w:rFonts w:hint="eastAsia" w:ascii="仿宋" w:hAnsi="仿宋" w:eastAsia="仿宋" w:cs="仿宋"/>
          <w:sz w:val="32"/>
          <w:szCs w:val="32"/>
        </w:rPr>
        <w:t>4652</w:t>
      </w:r>
      <w:r>
        <w:rPr>
          <w:rFonts w:hint="eastAsia" w:ascii="仿宋" w:hAnsi="仿宋" w:eastAsia="仿宋" w:cs="仿宋"/>
          <w:sz w:val="32"/>
          <w:szCs w:val="32"/>
          <w:lang w:eastAsia="zh-CN"/>
        </w:rPr>
        <w:t>亿</w:t>
      </w:r>
      <w:r>
        <w:rPr>
          <w:rFonts w:hint="eastAsia" w:ascii="仿宋" w:hAnsi="仿宋" w:eastAsia="仿宋" w:cs="仿宋"/>
          <w:sz w:val="32"/>
          <w:szCs w:val="32"/>
        </w:rPr>
        <w:t>元，税金</w:t>
      </w:r>
      <w:r>
        <w:rPr>
          <w:rFonts w:hint="eastAsia" w:ascii="仿宋" w:hAnsi="仿宋" w:eastAsia="仿宋" w:cs="仿宋"/>
          <w:sz w:val="32"/>
          <w:szCs w:val="32"/>
          <w:lang w:val="en-US" w:eastAsia="zh-CN"/>
        </w:rPr>
        <w:t>0.</w:t>
      </w:r>
      <w:r>
        <w:rPr>
          <w:rFonts w:hint="eastAsia" w:ascii="仿宋" w:hAnsi="仿宋" w:eastAsia="仿宋" w:cs="仿宋"/>
          <w:sz w:val="32"/>
          <w:szCs w:val="32"/>
        </w:rPr>
        <w:t>2126</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bCs/>
          <w:sz w:val="32"/>
          <w:szCs w:val="32"/>
        </w:rPr>
      </w:pPr>
      <w:r>
        <w:rPr>
          <w:rFonts w:hint="eastAsia" w:ascii="仿宋" w:hAnsi="仿宋" w:eastAsia="仿宋"/>
          <w:b/>
          <w:bCs/>
          <w:sz w:val="32"/>
          <w:szCs w:val="32"/>
        </w:rPr>
        <w:t>合作方式：</w:t>
      </w:r>
      <w:r>
        <w:rPr>
          <w:rFonts w:hint="eastAsia" w:ascii="仿宋" w:hAnsi="仿宋" w:eastAsia="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b/>
          <w:bCs/>
          <w:sz w:val="32"/>
          <w:szCs w:val="32"/>
          <w:lang w:val="en-US" w:eastAsia="zh-CN"/>
        </w:rPr>
        <w:t>联系地址</w:t>
      </w:r>
      <w:r>
        <w:rPr>
          <w:rFonts w:hint="eastAsia" w:ascii="仿宋" w:hAnsi="仿宋" w:eastAsia="仿宋"/>
          <w:sz w:val="32"/>
          <w:szCs w:val="32"/>
          <w:lang w:val="en-US" w:eastAsia="zh-CN"/>
        </w:rPr>
        <w:t>：</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b w:val="0"/>
          <w:bCs w:val="0"/>
          <w:sz w:val="32"/>
          <w:szCs w:val="32"/>
          <w:lang w:val="en-US" w:eastAsia="zh-CN"/>
        </w:rPr>
      </w:pPr>
      <w:r>
        <w:rPr>
          <w:rFonts w:hint="eastAsia" w:ascii="仿宋" w:hAnsi="仿宋" w:eastAsia="仿宋"/>
          <w:b/>
          <w:bCs/>
          <w:sz w:val="32"/>
          <w:szCs w:val="32"/>
        </w:rPr>
        <w:t>联 系 人</w:t>
      </w:r>
      <w:r>
        <w:rPr>
          <w:rFonts w:hint="eastAsia" w:ascii="仿宋" w:hAnsi="仿宋" w:eastAsia="仿宋"/>
          <w:b/>
          <w:bCs/>
          <w:sz w:val="32"/>
          <w:szCs w:val="32"/>
          <w:lang w:eastAsia="zh-CN"/>
        </w:rPr>
        <w:t>：</w:t>
      </w:r>
      <w:r>
        <w:rPr>
          <w:rFonts w:hint="eastAsia" w:ascii="仿宋" w:hAnsi="仿宋" w:eastAsia="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bCs/>
          <w:sz w:val="32"/>
          <w:szCs w:val="32"/>
        </w:rPr>
        <w:t>联系电话</w:t>
      </w:r>
      <w:r>
        <w:rPr>
          <w:rFonts w:hint="eastAsia" w:ascii="仿宋" w:hAnsi="仿宋" w:eastAsia="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 xml:space="preserve"> 0478-85</w:t>
      </w:r>
      <w:r>
        <w:rPr>
          <w:rFonts w:hint="eastAsia" w:ascii="仿宋" w:hAnsi="仿宋" w:eastAsia="仿宋"/>
          <w:sz w:val="32"/>
          <w:szCs w:val="32"/>
          <w:lang w:val="en-US" w:eastAsia="zh-CN"/>
        </w:rPr>
        <w:t>2</w:t>
      </w:r>
      <w:r>
        <w:rPr>
          <w:rFonts w:hint="eastAsia" w:ascii="仿宋" w:hAnsi="仿宋" w:eastAsia="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bCs/>
          <w:sz w:val="32"/>
          <w:szCs w:val="32"/>
        </w:rPr>
        <w:t>邮</w:t>
      </w:r>
      <w:r>
        <w:rPr>
          <w:rFonts w:hint="eastAsia" w:ascii="仿宋" w:hAnsi="仿宋" w:eastAsia="仿宋"/>
          <w:b/>
          <w:bCs/>
          <w:sz w:val="32"/>
          <w:szCs w:val="32"/>
          <w:lang w:val="en-US" w:eastAsia="zh-CN"/>
        </w:rPr>
        <w:t xml:space="preserve">    </w:t>
      </w:r>
      <w:r>
        <w:rPr>
          <w:rFonts w:hint="eastAsia" w:ascii="仿宋" w:hAnsi="仿宋" w:eastAsia="仿宋"/>
          <w:b/>
          <w:bCs/>
          <w:sz w:val="32"/>
          <w:szCs w:val="32"/>
        </w:rPr>
        <w:t>箱:</w:t>
      </w:r>
      <w:r>
        <w:rPr>
          <w:rFonts w:hint="eastAsia" w:ascii="仿宋" w:hAnsi="仿宋" w:eastAsia="仿宋"/>
          <w:b/>
          <w:bCs/>
          <w:sz w:val="32"/>
          <w:szCs w:val="32"/>
          <w:lang w:val="en-US" w:eastAsia="zh-CN"/>
        </w:rPr>
        <w:t xml:space="preserve"> </w:t>
      </w:r>
      <w:r>
        <w:rPr>
          <w:rFonts w:hint="eastAsia" w:ascii="仿宋" w:hAnsi="仿宋" w:eastAsia="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sz w:val="32"/>
          <w:szCs w:val="32"/>
        </w:rPr>
        <w:t>传</w:t>
      </w:r>
      <w:r>
        <w:rPr>
          <w:rFonts w:hint="eastAsia" w:ascii="仿宋" w:hAnsi="仿宋" w:eastAsia="仿宋"/>
          <w:b/>
          <w:sz w:val="32"/>
          <w:szCs w:val="32"/>
          <w:lang w:val="en-US" w:eastAsia="zh-CN"/>
        </w:rPr>
        <w:t xml:space="preserve">    </w:t>
      </w:r>
      <w:r>
        <w:rPr>
          <w:rFonts w:hint="eastAsia" w:ascii="仿宋" w:hAnsi="仿宋" w:eastAsia="仿宋"/>
          <w:b/>
          <w:sz w:val="32"/>
          <w:szCs w:val="32"/>
        </w:rPr>
        <w:t>真</w:t>
      </w:r>
      <w:r>
        <w:rPr>
          <w:rFonts w:hint="eastAsia" w:ascii="仿宋" w:hAnsi="仿宋" w:eastAsia="仿宋"/>
          <w:sz w:val="32"/>
          <w:szCs w:val="32"/>
        </w:rPr>
        <w:t>：0478-852385</w:t>
      </w:r>
      <w:r>
        <w:rPr>
          <w:rFonts w:hint="eastAsia" w:ascii="仿宋" w:hAnsi="仿宋" w:eastAsia="仿宋"/>
          <w:sz w:val="32"/>
          <w:szCs w:val="32"/>
          <w:lang w:val="en-US" w:eastAsia="zh-CN"/>
        </w:rPr>
        <w:t>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rPr>
          <w:rFonts w:hint="eastAsia"/>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玉米油生产项目</w:t>
      </w:r>
    </w:p>
    <w:p>
      <w:pPr>
        <w:pStyle w:val="15"/>
        <w:rPr>
          <w:rFonts w:hint="eastAsia"/>
        </w:rPr>
      </w:pPr>
    </w:p>
    <w:p>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项目背景 ：</w:t>
      </w:r>
      <w:r>
        <w:rPr>
          <w:rFonts w:hint="eastAsia" w:ascii="仿宋" w:hAnsi="仿宋" w:eastAsia="仿宋" w:cs="仿宋"/>
          <w:sz w:val="32"/>
          <w:szCs w:val="32"/>
          <w:lang w:val="en-US" w:eastAsia="zh-CN"/>
        </w:rPr>
        <w:t xml:space="preserve">玉米是我国产量最大的农作物之一，产量已超 1.2 亿吨，占全国粮食产量的 22%以上，占世界玉米产量的 21%左右，居世界第二位。玉米油是食用油中的上品，营养价值极高，特别是其中富含亚油酸、亚麻油酸及维生素 E，有预防和治疗心血管病的效果。在玉米加工过程中，100 公斤玉米除可制得淀粉 66 公斤外，还可得到副产品玉米蛋白粉（含 60%蛋白质）6.3 公斤、玉米油 2.7 公斤、纤维饲料（含 21%蛋白质）23 公斤。玉米油是由玉米胚加工制得的植物油脂，主要由不饱和脂肪酸组成。其中亚油酸是人体必需脂肪酸，是构成人体细胞的组成部分，在人体内可与胆固醇相结合，呈流动性和正常代谢，有防治动脉粥样硬化等心血管疾病的功效玉米油中的谷固醇具有降低胆固醇的功效，富含维生素 E，有抗氧化作用，可防治干眼病、夜盲症、皮炎、支气管扩张等多种功能，并具有一定的抗癌作用。它是一种值得大力推广的食用保健植物油，它的不饱和脂肪酸含量高达 85%以上，主要有油酸和亚油酸，吸收率达 97%以上，是一种很好的功能性保健食品。长期食用不仅供给人体热量，也是人体营养所必需。有业内人士估计，国内的玉米油市场份额以最保守的估计也将达到每年 50 亿元人民币。有关专家预测，5～8 年内，国内小包装玉米油的销量将达到 400 万吨，可以说一个充满了无限诱惑力且又非常巨大的市场，呈现在食用油业面前，从而玉米油加工业将成为玉米深加工业的一个“黄金产业”。 </w:t>
      </w:r>
    </w:p>
    <w:p>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建设条件：</w:t>
      </w:r>
      <w:r>
        <w:rPr>
          <w:rFonts w:hint="eastAsia" w:ascii="仿宋" w:hAnsi="仿宋" w:eastAsia="仿宋" w:cs="仿宋"/>
          <w:sz w:val="32"/>
          <w:szCs w:val="32"/>
          <w:lang w:val="en-US" w:eastAsia="zh-CN"/>
        </w:rPr>
        <w:t xml:space="preserve">巴彦淖尔玉米种植面积 600万亩以上，总产量 51亿斤。开发区的巴山淀粉厂，年加工玉米 48 万吨所，生产的玉米淀粉供给联邦制药生产下游产品；淀粉含量 68%，胚芽 6%；玉米蛋白质含量高于周边。 </w:t>
      </w:r>
    </w:p>
    <w:p>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建设内容 ：</w:t>
      </w:r>
      <w:r>
        <w:rPr>
          <w:rFonts w:hint="eastAsia" w:ascii="仿宋" w:hAnsi="仿宋" w:eastAsia="仿宋" w:cs="仿宋"/>
          <w:sz w:val="32"/>
          <w:szCs w:val="32"/>
          <w:lang w:val="en-US" w:eastAsia="zh-CN"/>
        </w:rPr>
        <w:t xml:space="preserve">（1）建设规模：工程建设规模为年加工净玉米 340 万吨，年产主产品玉米油 10 万吨、玉米淀粉 24 万吨。生产满足深加工市场需求。通过新增项目，可增加就业人数 3000 多人。（2）技术方案：把玉米中分离出来的玉米胚芽进行压榨，再经过脱胶、脱酸、脱水、脱色、脱臭、脱蜡等工艺精制而成。（3）建设目标：本项目的开发目标是主要建设为年产 10 万吨精炼玉米油，生产玉米油、淀粉、蛋白粉、淀粉糖、冰醋酸、醋酸酯、纤维饲料等。建设一条具有现代化的大型玉米深加工生产线，通过引用国内先进生产设备实现玉米深层次加工，实现吨粮玉米开发最大化，确保质 </w:t>
      </w:r>
    </w:p>
    <w:p>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量达到国际水平。预计建设一条从玉米收储→烘干→深加工→销售运输一条龙的新鲜产业链。 </w:t>
      </w:r>
    </w:p>
    <w:p>
      <w:pPr>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投资估算：</w:t>
      </w:r>
      <w:r>
        <w:rPr>
          <w:rFonts w:hint="eastAsia" w:ascii="仿宋" w:hAnsi="仿宋" w:eastAsia="仿宋" w:cs="仿宋"/>
          <w:sz w:val="32"/>
          <w:szCs w:val="32"/>
          <w:lang w:val="en-US" w:eastAsia="zh-CN"/>
        </w:rPr>
        <w:t>总投资 12.0177亿元，建设估算投资 10.9911亿元。每年可获销售收入 15.393亿元，年平均上缴税费 0.4763 亿元，可获平均利润 1.5053亿元，财务内部收益率为 16.9%。由此看项目建成后不但具有一定的社会效益，而且还有一定的经济效益和抗风险能力，是符合国家发展战略的项目。</w:t>
      </w:r>
    </w:p>
    <w:p>
      <w:pPr>
        <w:spacing w:line="400" w:lineRule="exact"/>
        <w:rPr>
          <w:rFonts w:hint="eastAsia" w:ascii="仿宋" w:hAnsi="仿宋" w:eastAsia="仿宋"/>
          <w:bCs/>
          <w:sz w:val="32"/>
          <w:szCs w:val="32"/>
        </w:rPr>
      </w:pPr>
      <w:r>
        <w:rPr>
          <w:rFonts w:hint="eastAsia" w:ascii="仿宋" w:hAnsi="仿宋" w:eastAsia="仿宋"/>
          <w:b/>
          <w:bCs/>
          <w:sz w:val="32"/>
          <w:szCs w:val="32"/>
        </w:rPr>
        <w:t>合作方式：</w:t>
      </w:r>
      <w:r>
        <w:rPr>
          <w:rFonts w:hint="eastAsia" w:ascii="仿宋" w:hAnsi="仿宋" w:eastAsia="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b/>
          <w:bCs/>
          <w:sz w:val="32"/>
          <w:szCs w:val="32"/>
          <w:lang w:val="en-US" w:eastAsia="zh-CN"/>
        </w:rPr>
        <w:t>联系地址</w:t>
      </w:r>
      <w:r>
        <w:rPr>
          <w:rFonts w:hint="eastAsia" w:ascii="仿宋" w:hAnsi="仿宋" w:eastAsia="仿宋"/>
          <w:sz w:val="32"/>
          <w:szCs w:val="32"/>
          <w:lang w:val="en-US" w:eastAsia="zh-CN"/>
        </w:rPr>
        <w:t>：</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b w:val="0"/>
          <w:bCs w:val="0"/>
          <w:sz w:val="32"/>
          <w:szCs w:val="32"/>
          <w:lang w:val="en-US" w:eastAsia="zh-CN"/>
        </w:rPr>
      </w:pPr>
      <w:r>
        <w:rPr>
          <w:rFonts w:hint="eastAsia" w:ascii="仿宋" w:hAnsi="仿宋" w:eastAsia="仿宋"/>
          <w:b/>
          <w:bCs/>
          <w:sz w:val="32"/>
          <w:szCs w:val="32"/>
        </w:rPr>
        <w:t>联 系 人</w:t>
      </w:r>
      <w:r>
        <w:rPr>
          <w:rFonts w:hint="eastAsia" w:ascii="仿宋" w:hAnsi="仿宋" w:eastAsia="仿宋"/>
          <w:b/>
          <w:bCs/>
          <w:sz w:val="32"/>
          <w:szCs w:val="32"/>
          <w:lang w:eastAsia="zh-CN"/>
        </w:rPr>
        <w:t>：</w:t>
      </w:r>
      <w:r>
        <w:rPr>
          <w:rFonts w:hint="eastAsia" w:ascii="仿宋" w:hAnsi="仿宋" w:eastAsia="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bCs/>
          <w:sz w:val="32"/>
          <w:szCs w:val="32"/>
        </w:rPr>
        <w:t>联系电话</w:t>
      </w:r>
      <w:r>
        <w:rPr>
          <w:rFonts w:hint="eastAsia" w:ascii="仿宋" w:hAnsi="仿宋" w:eastAsia="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 xml:space="preserve"> 0478-85</w:t>
      </w:r>
      <w:r>
        <w:rPr>
          <w:rFonts w:hint="eastAsia" w:ascii="仿宋" w:hAnsi="仿宋" w:eastAsia="仿宋"/>
          <w:sz w:val="32"/>
          <w:szCs w:val="32"/>
          <w:lang w:val="en-US" w:eastAsia="zh-CN"/>
        </w:rPr>
        <w:t>2</w:t>
      </w:r>
      <w:r>
        <w:rPr>
          <w:rFonts w:hint="eastAsia" w:ascii="仿宋" w:hAnsi="仿宋" w:eastAsia="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bCs/>
          <w:sz w:val="32"/>
          <w:szCs w:val="32"/>
        </w:rPr>
        <w:t>邮</w:t>
      </w:r>
      <w:r>
        <w:rPr>
          <w:rFonts w:hint="eastAsia" w:ascii="仿宋" w:hAnsi="仿宋" w:eastAsia="仿宋"/>
          <w:b/>
          <w:bCs/>
          <w:sz w:val="32"/>
          <w:szCs w:val="32"/>
          <w:lang w:val="en-US" w:eastAsia="zh-CN"/>
        </w:rPr>
        <w:t xml:space="preserve">    </w:t>
      </w:r>
      <w:r>
        <w:rPr>
          <w:rFonts w:hint="eastAsia" w:ascii="仿宋" w:hAnsi="仿宋" w:eastAsia="仿宋"/>
          <w:b/>
          <w:bCs/>
          <w:sz w:val="32"/>
          <w:szCs w:val="32"/>
        </w:rPr>
        <w:t>箱:</w:t>
      </w:r>
      <w:r>
        <w:rPr>
          <w:rFonts w:hint="eastAsia" w:ascii="仿宋" w:hAnsi="仿宋" w:eastAsia="仿宋"/>
          <w:b/>
          <w:bCs/>
          <w:sz w:val="32"/>
          <w:szCs w:val="32"/>
          <w:lang w:val="en-US" w:eastAsia="zh-CN"/>
        </w:rPr>
        <w:t xml:space="preserve"> </w:t>
      </w:r>
      <w:r>
        <w:rPr>
          <w:rFonts w:hint="eastAsia" w:ascii="仿宋" w:hAnsi="仿宋" w:eastAsia="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left="0" w:right="0" w:rightChars="0" w:firstLine="0" w:firstLineChars="0"/>
        <w:jc w:val="both"/>
        <w:textAlignment w:val="auto"/>
        <w:outlineLvl w:val="9"/>
        <w:rPr>
          <w:rFonts w:hint="eastAsia" w:ascii="Times New Roman" w:hAnsi="Times New Roman"/>
          <w:b/>
          <w:bCs/>
          <w:kern w:val="44"/>
          <w:sz w:val="44"/>
          <w:szCs w:val="44"/>
        </w:rPr>
      </w:pPr>
      <w:r>
        <w:rPr>
          <w:rFonts w:hint="eastAsia" w:ascii="仿宋" w:hAnsi="仿宋" w:eastAsia="仿宋"/>
          <w:b/>
          <w:sz w:val="32"/>
          <w:szCs w:val="32"/>
        </w:rPr>
        <w:t>传</w:t>
      </w:r>
      <w:r>
        <w:rPr>
          <w:rFonts w:hint="eastAsia" w:ascii="仿宋" w:hAnsi="仿宋" w:eastAsia="仿宋"/>
          <w:b/>
          <w:sz w:val="32"/>
          <w:szCs w:val="32"/>
          <w:lang w:val="en-US" w:eastAsia="zh-CN"/>
        </w:rPr>
        <w:t xml:space="preserve">    </w:t>
      </w:r>
      <w:r>
        <w:rPr>
          <w:rFonts w:hint="eastAsia" w:ascii="仿宋" w:hAnsi="仿宋" w:eastAsia="仿宋"/>
          <w:b/>
          <w:sz w:val="32"/>
          <w:szCs w:val="32"/>
        </w:rPr>
        <w:t>真</w:t>
      </w:r>
      <w:r>
        <w:rPr>
          <w:rFonts w:hint="eastAsia" w:ascii="仿宋" w:hAnsi="仿宋" w:eastAsia="仿宋"/>
          <w:sz w:val="32"/>
          <w:szCs w:val="32"/>
        </w:rPr>
        <w:t>：0478-852385</w:t>
      </w:r>
      <w:r>
        <w:rPr>
          <w:rFonts w:hint="eastAsia" w:ascii="仿宋" w:hAnsi="仿宋" w:eastAsia="仿宋"/>
          <w:sz w:val="32"/>
          <w:szCs w:val="32"/>
          <w:lang w:val="en-US" w:eastAsia="zh-CN"/>
        </w:rPr>
        <w:t>3</w:t>
      </w:r>
    </w:p>
    <w:p>
      <w:pPr>
        <w:rPr>
          <w:rFonts w:hint="eastAsia"/>
        </w:rPr>
      </w:pPr>
    </w:p>
    <w:p>
      <w:pPr>
        <w:rPr>
          <w:rFonts w:hint="eastAsia"/>
        </w:rPr>
      </w:pP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firstLine="880" w:firstLineChars="200"/>
        <w:jc w:val="center"/>
        <w:textAlignment w:val="auto"/>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rPr>
        <w:t>玉米饮品生产线项目</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imes New Roman" w:hAnsi="Times New Roman"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一、项目名称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玉米饮品生产线项目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二、项目概况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玉米是重要的粮食作物和饲料作物，也是全世界总产量最高的农作物，其种植面积和总产量仅次于水稻和小麦。玉米中的维生素含量也非常高，是稻米、小麦的5-10倍，在所有主食中，玉米的营养价值和保健作用是最高的。玉米中含有的核黄素等高营养物质，对人体是十分有益的。随着农业和加工业的技术水平不断发展，充分开发玉米的营养价值，以玉米为原料制成的饮品可以满足人们对健康膳食、健康生活的追求。</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三、建设内容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bCs/>
          <w:sz w:val="32"/>
          <w:szCs w:val="32"/>
          <w:lang w:val="en-US" w:eastAsia="zh-CN"/>
        </w:rPr>
      </w:pPr>
      <w:r>
        <w:rPr>
          <w:rFonts w:hint="eastAsia" w:ascii="Times New Roman" w:hAnsi="Times New Roman" w:eastAsia="仿宋_GB2312" w:cs="仿宋_GB2312"/>
          <w:sz w:val="32"/>
          <w:szCs w:val="32"/>
        </w:rPr>
        <w:t>年产10万吨“黄金玉米液”玉米饮品项目。</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宋体" w:hAnsi="宋体" w:cs="宋体"/>
          <w:b/>
          <w:sz w:val="28"/>
          <w:szCs w:val="28"/>
        </w:rPr>
        <w:t>技术经济指标估算</w:t>
      </w:r>
      <w:r>
        <w:rPr>
          <w:rFonts w:hint="eastAsia" w:ascii="仿宋" w:hAnsi="仿宋" w:eastAsia="仿宋" w:cs="仿宋"/>
          <w:sz w:val="32"/>
          <w:szCs w:val="32"/>
        </w:rPr>
        <w:t>：</w:t>
      </w:r>
    </w:p>
    <w:tbl>
      <w:tblPr>
        <w:tblStyle w:val="12"/>
        <w:tblW w:w="8397"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82"/>
        <w:gridCol w:w="2271"/>
        <w:gridCol w:w="1628"/>
        <w:gridCol w:w="1628"/>
        <w:gridCol w:w="188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0" w:hRule="atLeast"/>
          <w:tblHeader/>
        </w:trPr>
        <w:tc>
          <w:tcPr>
            <w:tcW w:w="9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序号</w:t>
            </w:r>
          </w:p>
        </w:tc>
        <w:tc>
          <w:tcPr>
            <w:tcW w:w="22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项目名称</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单位</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数量</w:t>
            </w:r>
          </w:p>
        </w:tc>
        <w:tc>
          <w:tcPr>
            <w:tcW w:w="188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备</w:t>
            </w:r>
            <w:r>
              <w:rPr>
                <w:rFonts w:ascii="宋体" w:hAnsi="宋体" w:cs="仿宋"/>
                <w:sz w:val="21"/>
                <w:szCs w:val="22"/>
              </w:rPr>
              <w:t xml:space="preserve">  </w:t>
            </w:r>
            <w:r>
              <w:rPr>
                <w:rFonts w:hint="eastAsia" w:ascii="宋体" w:hAnsi="宋体" w:cs="仿宋"/>
                <w:sz w:val="21"/>
                <w:szCs w:val="22"/>
              </w:rPr>
              <w:t>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0" w:hRule="atLeast"/>
        </w:trPr>
        <w:tc>
          <w:tcPr>
            <w:tcW w:w="9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ascii="宋体" w:hAnsi="宋体" w:cs="仿宋"/>
                <w:sz w:val="21"/>
                <w:szCs w:val="22"/>
              </w:rPr>
              <w:t>1</w:t>
            </w:r>
          </w:p>
        </w:tc>
        <w:tc>
          <w:tcPr>
            <w:tcW w:w="22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总投资</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万元</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cs="仿宋" w:eastAsiaTheme="minorEastAsia"/>
                <w:sz w:val="21"/>
                <w:szCs w:val="22"/>
                <w:lang w:val="en-US" w:eastAsia="zh-CN"/>
              </w:rPr>
            </w:pPr>
            <w:r>
              <w:rPr>
                <w:rFonts w:hint="eastAsia" w:ascii="宋体" w:cs="仿宋"/>
                <w:sz w:val="21"/>
                <w:szCs w:val="22"/>
                <w:lang w:val="en-US" w:eastAsia="zh-CN"/>
              </w:rPr>
              <w:t>5000</w:t>
            </w:r>
          </w:p>
        </w:tc>
        <w:tc>
          <w:tcPr>
            <w:tcW w:w="188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0" w:hRule="atLeast"/>
        </w:trPr>
        <w:tc>
          <w:tcPr>
            <w:tcW w:w="9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ascii="宋体" w:hAnsi="宋体" w:cs="仿宋"/>
                <w:sz w:val="21"/>
                <w:szCs w:val="22"/>
              </w:rPr>
              <w:t>2</w:t>
            </w:r>
          </w:p>
        </w:tc>
        <w:tc>
          <w:tcPr>
            <w:tcW w:w="22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建设投资</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万元</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cs="仿宋" w:eastAsiaTheme="minorEastAsia"/>
                <w:sz w:val="21"/>
                <w:szCs w:val="22"/>
                <w:lang w:val="en-US" w:eastAsia="zh-CN"/>
              </w:rPr>
            </w:pPr>
            <w:r>
              <w:rPr>
                <w:rFonts w:hint="eastAsia" w:ascii="宋体" w:cs="仿宋"/>
                <w:sz w:val="21"/>
                <w:szCs w:val="22"/>
                <w:lang w:val="en-US" w:eastAsia="zh-CN"/>
              </w:rPr>
              <w:t>5000</w:t>
            </w:r>
          </w:p>
        </w:tc>
        <w:tc>
          <w:tcPr>
            <w:tcW w:w="188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0" w:hRule="atLeast"/>
        </w:trPr>
        <w:tc>
          <w:tcPr>
            <w:tcW w:w="9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ascii="宋体" w:hAnsi="宋体" w:cs="仿宋"/>
                <w:sz w:val="21"/>
                <w:szCs w:val="22"/>
              </w:rPr>
              <w:t>3</w:t>
            </w:r>
          </w:p>
        </w:tc>
        <w:tc>
          <w:tcPr>
            <w:tcW w:w="22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年均销售收入</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万元</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cs="仿宋" w:eastAsiaTheme="minorEastAsia"/>
                <w:sz w:val="21"/>
                <w:szCs w:val="22"/>
                <w:lang w:val="en-US" w:eastAsia="zh-CN"/>
              </w:rPr>
            </w:pPr>
            <w:r>
              <w:rPr>
                <w:rFonts w:hint="eastAsia" w:ascii="宋体" w:cs="仿宋"/>
                <w:sz w:val="21"/>
                <w:szCs w:val="22"/>
                <w:lang w:val="en-US" w:eastAsia="zh-CN"/>
              </w:rPr>
              <w:t>10000</w:t>
            </w:r>
          </w:p>
        </w:tc>
        <w:tc>
          <w:tcPr>
            <w:tcW w:w="188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0" w:hRule="atLeast"/>
        </w:trPr>
        <w:tc>
          <w:tcPr>
            <w:tcW w:w="9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ascii="宋体" w:hAnsi="宋体" w:cs="仿宋"/>
                <w:sz w:val="21"/>
                <w:szCs w:val="22"/>
              </w:rPr>
              <w:t>4</w:t>
            </w:r>
          </w:p>
        </w:tc>
        <w:tc>
          <w:tcPr>
            <w:tcW w:w="22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年均总成本</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万元</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cs="仿宋" w:eastAsiaTheme="minorEastAsia"/>
                <w:sz w:val="21"/>
                <w:szCs w:val="22"/>
                <w:lang w:val="en-US" w:eastAsia="zh-CN"/>
              </w:rPr>
            </w:pPr>
            <w:r>
              <w:rPr>
                <w:rFonts w:hint="eastAsia" w:ascii="宋体" w:cs="仿宋"/>
                <w:sz w:val="21"/>
                <w:szCs w:val="22"/>
                <w:lang w:val="en-US" w:eastAsia="zh-CN"/>
              </w:rPr>
              <w:t>5000</w:t>
            </w:r>
          </w:p>
        </w:tc>
        <w:tc>
          <w:tcPr>
            <w:tcW w:w="188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0" w:hRule="atLeast"/>
        </w:trPr>
        <w:tc>
          <w:tcPr>
            <w:tcW w:w="9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ascii="宋体" w:hAnsi="宋体" w:cs="仿宋"/>
                <w:sz w:val="21"/>
                <w:szCs w:val="22"/>
              </w:rPr>
              <w:t>5</w:t>
            </w:r>
          </w:p>
        </w:tc>
        <w:tc>
          <w:tcPr>
            <w:tcW w:w="22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年均利润总额</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万元</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cs="仿宋" w:eastAsiaTheme="minorEastAsia"/>
                <w:sz w:val="21"/>
                <w:szCs w:val="22"/>
                <w:lang w:val="en-US" w:eastAsia="zh-CN"/>
              </w:rPr>
            </w:pPr>
            <w:r>
              <w:rPr>
                <w:rFonts w:hint="eastAsia" w:ascii="宋体" w:cs="仿宋"/>
                <w:sz w:val="21"/>
                <w:szCs w:val="22"/>
                <w:lang w:val="en-US" w:eastAsia="zh-CN"/>
              </w:rPr>
              <w:t>20000</w:t>
            </w:r>
          </w:p>
        </w:tc>
        <w:tc>
          <w:tcPr>
            <w:tcW w:w="188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9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ascii="宋体" w:hAnsi="宋体" w:cs="仿宋"/>
                <w:sz w:val="21"/>
                <w:szCs w:val="22"/>
              </w:rPr>
              <w:t>6</w:t>
            </w:r>
          </w:p>
        </w:tc>
        <w:tc>
          <w:tcPr>
            <w:tcW w:w="22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年均税后利润</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r>
              <w:rPr>
                <w:rFonts w:hint="eastAsia" w:ascii="宋体" w:hAnsi="宋体" w:cs="仿宋"/>
                <w:sz w:val="21"/>
                <w:szCs w:val="22"/>
              </w:rPr>
              <w:t>万元</w:t>
            </w:r>
          </w:p>
        </w:tc>
        <w:tc>
          <w:tcPr>
            <w:tcW w:w="162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cs="仿宋" w:eastAsiaTheme="minorEastAsia"/>
                <w:sz w:val="21"/>
                <w:szCs w:val="22"/>
                <w:lang w:val="en-US" w:eastAsia="zh-CN"/>
              </w:rPr>
            </w:pPr>
            <w:r>
              <w:rPr>
                <w:rFonts w:hint="eastAsia" w:ascii="宋体" w:cs="仿宋"/>
                <w:sz w:val="21"/>
                <w:szCs w:val="22"/>
                <w:lang w:val="en-US" w:eastAsia="zh-CN"/>
              </w:rPr>
              <w:t>14000</w:t>
            </w:r>
          </w:p>
        </w:tc>
        <w:tc>
          <w:tcPr>
            <w:tcW w:w="188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cs="仿宋"/>
                <w:sz w:val="21"/>
                <w:szCs w:val="22"/>
              </w:rPr>
            </w:pPr>
          </w:p>
        </w:tc>
      </w:tr>
    </w:tbl>
    <w:p>
      <w:pPr>
        <w:keepNext w:val="0"/>
        <w:keepLines w:val="0"/>
        <w:pageBreakBefore w:val="0"/>
        <w:widowControl w:val="0"/>
        <w:kinsoku/>
        <w:wordWrap/>
        <w:overflowPunct/>
        <w:topLinePunct w:val="0"/>
        <w:autoSpaceDE/>
        <w:autoSpaceDN/>
        <w:bidi w:val="0"/>
        <w:adjustRightInd/>
        <w:spacing w:line="6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rFonts w:hint="eastAsia"/>
          <w:b/>
          <w:bCs/>
          <w:sz w:val="44"/>
          <w:szCs w:val="44"/>
        </w:rPr>
      </w:pPr>
    </w:p>
    <w:p>
      <w:pPr>
        <w:jc w:val="center"/>
        <w:rPr>
          <w:b/>
          <w:bCs/>
          <w:sz w:val="44"/>
          <w:szCs w:val="44"/>
        </w:rPr>
      </w:pPr>
      <w:r>
        <w:rPr>
          <w:rFonts w:hint="eastAsia"/>
          <w:b/>
          <w:bCs/>
          <w:sz w:val="44"/>
          <w:szCs w:val="44"/>
        </w:rPr>
        <w:t>向日葵花粉营养素项目</w:t>
      </w:r>
    </w:p>
    <w:p>
      <w:pPr>
        <w:jc w:val="left"/>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shd w:val="clear" w:color="auto" w:fill="FFFFFF"/>
        </w:rPr>
      </w:pPr>
      <w:r>
        <w:rPr>
          <w:rFonts w:hint="eastAsia" w:ascii="仿宋" w:hAnsi="仿宋" w:eastAsia="仿宋" w:cs="仿宋"/>
          <w:b/>
          <w:bCs/>
          <w:sz w:val="32"/>
          <w:szCs w:val="32"/>
        </w:rPr>
        <w:t>项目简介</w:t>
      </w:r>
      <w:r>
        <w:rPr>
          <w:rFonts w:hint="eastAsia" w:ascii="仿宋" w:hAnsi="仿宋" w:eastAsia="仿宋" w:cs="仿宋"/>
          <w:sz w:val="32"/>
          <w:szCs w:val="32"/>
        </w:rPr>
        <w:t>：向日葵花粉营养素价值高，受消费者欢迎。向日葵花粉</w:t>
      </w:r>
      <w:r>
        <w:rPr>
          <w:rFonts w:hint="eastAsia" w:ascii="仿宋" w:hAnsi="仿宋" w:eastAsia="仿宋" w:cs="仿宋"/>
          <w:sz w:val="32"/>
          <w:szCs w:val="32"/>
          <w:shd w:val="clear" w:color="auto" w:fill="FFFFFF"/>
        </w:rPr>
        <w:t>含17种氨基酸，其中必需氨基酸及核酸含量尤为丰富，对促进表皮细胞新陈代谢，改善并保持皮肤正常功能特别有效，使女性皮肤细腻光洁有弹性。向日葵花粉含有钙、镁、磷、铁、锌、硒等常量和微量元素20多种。另外还有大量维生素A、磷脂、还原糖、葡萄糖氧化酶，具有抗氧化、美容、防衰老作用。</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巴彦淖尔市向日葵种植规模大，</w:t>
      </w:r>
      <w:r>
        <w:rPr>
          <w:rFonts w:hint="eastAsia" w:ascii="仿宋" w:hAnsi="仿宋" w:eastAsia="仿宋" w:cs="仿宋"/>
          <w:color w:val="FF0000"/>
          <w:sz w:val="32"/>
          <w:szCs w:val="32"/>
          <w:lang w:val="en-US" w:eastAsia="zh-CN"/>
        </w:rPr>
        <w:t>2022年种植面积达362多万亩，产量</w:t>
      </w:r>
      <w:r>
        <w:rPr>
          <w:rFonts w:hint="eastAsia" w:ascii="Times New Roman" w:hAnsi="Times New Roman" w:eastAsia="仿宋_GB2312" w:cs="Times New Roman"/>
          <w:b w:val="0"/>
          <w:bCs w:val="0"/>
          <w:color w:val="FF0000"/>
          <w:sz w:val="36"/>
          <w:szCs w:val="36"/>
          <w:highlight w:val="none"/>
          <w:lang w:val="en-US" w:eastAsia="zh-CN"/>
        </w:rPr>
        <w:t>104.4</w:t>
      </w:r>
      <w:r>
        <w:rPr>
          <w:rFonts w:hint="default" w:ascii="Times New Roman" w:hAnsi="Times New Roman" w:eastAsia="仿宋_GB2312" w:cs="Times New Roman"/>
          <w:b w:val="0"/>
          <w:bCs w:val="0"/>
          <w:color w:val="FF0000"/>
          <w:sz w:val="36"/>
          <w:szCs w:val="36"/>
          <w:highlight w:val="none"/>
          <w:lang w:val="en-US" w:eastAsia="zh-CN"/>
        </w:rPr>
        <w:t>万吨</w:t>
      </w:r>
      <w:r>
        <w:rPr>
          <w:rFonts w:hint="eastAsia" w:ascii="仿宋" w:hAnsi="仿宋" w:eastAsia="仿宋" w:cs="仿宋"/>
          <w:color w:val="FF0000"/>
          <w:sz w:val="32"/>
          <w:szCs w:val="32"/>
          <w:lang w:val="en-US" w:eastAsia="zh-CN"/>
        </w:rPr>
        <w:t>，</w:t>
      </w:r>
      <w:r>
        <w:rPr>
          <w:rFonts w:hint="eastAsia" w:ascii="仿宋" w:hAnsi="仿宋" w:eastAsia="仿宋" w:cs="仿宋"/>
          <w:sz w:val="32"/>
          <w:szCs w:val="32"/>
        </w:rPr>
        <w:t>集中度高。是我国西部地区最大的食用向日葵种植基地，也是国家油用向日葵优势产区。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建设年生产向日葵花粉营养素1000吨。建设2000亩纯天然绿色向日葵种植示范基地，发展农户种植向日葵30000亩，新建向日葵花粉、向日葵花粉营养素加工生产线各一条及生产厂房、办公楼等配套设施，总建筑面积15000平方米，采用国内先进生产加工设备。</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
          <w:sz w:val="32"/>
          <w:szCs w:val="32"/>
          <w:lang w:val="en-US" w:eastAsia="zh-CN"/>
        </w:rPr>
        <w:t>总投资1.2亿元。其中固定资产1亿元，流动资产0.2亿元。</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0.08亿元，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0.06亿元。</w:t>
      </w:r>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b/>
          <w:bCs/>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keepLines/>
        <w:numPr>
          <w:ilvl w:val="1"/>
          <w:numId w:val="0"/>
        </w:numPr>
        <w:spacing w:after="156" w:afterLines="50" w:line="520" w:lineRule="exact"/>
        <w:jc w:val="center"/>
        <w:outlineLvl w:val="0"/>
        <w:rPr>
          <w:rFonts w:hint="eastAsia" w:ascii="Times New Roman" w:hAnsi="Times New Roman"/>
          <w:b/>
          <w:bCs/>
          <w:kern w:val="44"/>
          <w:sz w:val="44"/>
          <w:szCs w:val="44"/>
        </w:rPr>
      </w:pPr>
      <w:r>
        <w:rPr>
          <w:rFonts w:hint="eastAsia" w:ascii="Times New Roman" w:hAnsi="Times New Roman"/>
          <w:b/>
          <w:bCs/>
          <w:kern w:val="44"/>
          <w:sz w:val="44"/>
          <w:szCs w:val="44"/>
        </w:rPr>
        <w:t>葵蛋白提取加工项目</w:t>
      </w:r>
    </w:p>
    <w:p>
      <w:pPr>
        <w:keepNext/>
        <w:keepLines/>
        <w:numPr>
          <w:ilvl w:val="1"/>
          <w:numId w:val="0"/>
        </w:numPr>
        <w:spacing w:after="156" w:afterLines="50" w:line="520" w:lineRule="exact"/>
        <w:jc w:val="center"/>
        <w:outlineLvl w:val="0"/>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葵花蛋白是已知的可充分消化的蛋白质，具有较高的生物价值，在葵花粕中的含量约为40%左右。优质葵花蛋白在消化率方面高于大多数植物蛋白，相当于大豆蛋白，不仅可用作优质饲料，还可用于食品生产、医药制造和美容产品，如在食品工业中，可添加到冰激凌、午餐肉中，提高其营养价值。</w:t>
      </w:r>
    </w:p>
    <w:p>
      <w:pPr>
        <w:keepNext w:val="0"/>
        <w:keepLines w:val="0"/>
        <w:pageBreakBefore w:val="0"/>
        <w:widowControl w:val="0"/>
        <w:kinsoku/>
        <w:wordWrap/>
        <w:overflowPunct/>
        <w:topLinePunct w:val="0"/>
        <w:autoSpaceDE/>
        <w:autoSpaceDN/>
        <w:bidi w:val="0"/>
        <w:adjustRightInd/>
        <w:spacing w:line="500" w:lineRule="exact"/>
        <w:ind w:firstLine="646" w:firstLineChars="202"/>
        <w:jc w:val="both"/>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rPr>
        <w:t>葵蛋白提取加工项目有利于拓展巴</w:t>
      </w:r>
      <w:r>
        <w:rPr>
          <w:rFonts w:hint="eastAsia" w:ascii="仿宋" w:hAnsi="仿宋" w:eastAsia="仿宋" w:cs="仿宋"/>
          <w:sz w:val="32"/>
          <w:szCs w:val="32"/>
          <w:lang w:val="en-US" w:eastAsia="zh-CN"/>
        </w:rPr>
        <w:t>彦</w:t>
      </w:r>
      <w:r>
        <w:rPr>
          <w:rFonts w:hint="eastAsia" w:ascii="仿宋" w:hAnsi="仿宋" w:eastAsia="仿宋" w:cs="仿宋"/>
          <w:sz w:val="32"/>
          <w:szCs w:val="32"/>
        </w:rPr>
        <w:t>淖尔市向日葵的饲用、食用、药用、美容等价值，延伸产业链，拓展产业发展空间，提升产业综合效益。巴彦淖尔市是我国西部地区最大的食用向日葵种植基地，全市向日葵播种面积</w:t>
      </w:r>
      <w:r>
        <w:rPr>
          <w:rFonts w:hint="eastAsia" w:ascii="仿宋" w:hAnsi="仿宋" w:eastAsia="仿宋" w:cs="仿宋"/>
          <w:sz w:val="32"/>
          <w:szCs w:val="32"/>
          <w:lang w:val="en-US" w:eastAsia="zh-CN"/>
        </w:rPr>
        <w:t>362多</w:t>
      </w:r>
      <w:r>
        <w:rPr>
          <w:rFonts w:hint="eastAsia" w:ascii="仿宋" w:hAnsi="仿宋" w:eastAsia="仿宋" w:cs="仿宋"/>
          <w:sz w:val="32"/>
          <w:szCs w:val="32"/>
        </w:rPr>
        <w:t>万亩，居内蒙古之首，约占全市农作物总播面积的2/5</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集中度高。</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rPr>
        <w:t>建设内容</w:t>
      </w:r>
      <w:r>
        <w:rPr>
          <w:rFonts w:hint="eastAsia" w:ascii="仿宋" w:hAnsi="仿宋" w:eastAsia="仿宋" w:cs="仿宋"/>
          <w:sz w:val="32"/>
          <w:szCs w:val="32"/>
        </w:rPr>
        <w:t>：拟建设年产1000吨向日葵葵蛋白提取加工项目</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主要原料为</w:t>
      </w:r>
      <w:r>
        <w:rPr>
          <w:rFonts w:hint="eastAsia" w:ascii="仿宋" w:hAnsi="仿宋" w:eastAsia="仿宋" w:cs="仿宋"/>
          <w:sz w:val="32"/>
          <w:szCs w:val="32"/>
        </w:rPr>
        <w:t>向日葵饼粕。</w:t>
      </w:r>
      <w:r>
        <w:rPr>
          <w:rFonts w:hint="eastAsia" w:ascii="仿宋" w:hAnsi="仿宋" w:eastAsia="仿宋" w:cs="仿宋"/>
          <w:sz w:val="32"/>
          <w:szCs w:val="32"/>
          <w:shd w:val="clear" w:color="auto" w:fill="FFFFFF"/>
        </w:rPr>
        <w:t>本项目建设占地12 万平方米，总建筑面积 8 万平方米。新建葵蛋白提取生产线 4 条，配套设备 100台（套）。</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
          <w:sz w:val="32"/>
          <w:szCs w:val="32"/>
          <w:lang w:val="en-US" w:eastAsia="zh-CN"/>
        </w:rPr>
        <w:t>总投资1亿元，其中固定资产投资0.8亿元，流动资产0.2亿元。</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0.3亿元。</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44"/>
          <w:szCs w:val="44"/>
          <w:lang w:val="en-US" w:eastAsia="zh-CN"/>
        </w:rPr>
      </w:pPr>
      <w:r>
        <w:rPr>
          <w:rFonts w:hint="eastAsia" w:ascii="Times New Roman" w:hAnsi="Times New Roman"/>
          <w:b/>
          <w:bCs/>
          <w:kern w:val="44"/>
          <w:sz w:val="44"/>
          <w:szCs w:val="44"/>
        </w:rPr>
        <w:t>葵花露、葵仁饮料生产项目</w:t>
      </w:r>
    </w:p>
    <w:p>
      <w:pPr>
        <w:jc w:val="left"/>
        <w:rPr>
          <w:rFonts w:hint="eastAsia" w:ascii="仿宋" w:hAnsi="仿宋" w:eastAsia="仿宋" w:cs="仿宋"/>
          <w:b/>
          <w:bCs/>
          <w:sz w:val="32"/>
          <w:szCs w:val="32"/>
        </w:rPr>
      </w:pPr>
    </w:p>
    <w:p>
      <w:pPr>
        <w:spacing w:line="520" w:lineRule="exact"/>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向日葵是一种很好的植物蛋白质资源，有较高的营养价值，其蛋白质含量在20%～28%之间，氨基酸种类齐全，比例合理，并富含维生素A、维生素Ｂ、维生素Ｃ、维生素Ｅ等多种维生素及钙、磷、铁、锌、钾等多种对人体有益的矿物元素。近年来，在饮料领域中，植物蛋白资源的开发利用已成热点，面市的产品也比较多，例如纯天然豆奶、花生奶、杏仁奶等，而葵花籽也具备天然优势，开发葵仁蛋白有着良好的前景。</w:t>
      </w:r>
    </w:p>
    <w:p>
      <w:p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巴彦淖尔市位于河套平原腹地，是我国西部地区最大的食用向日葵种植基地和集散地，产量占到全国的30%。生产的食用向日葵籽粒饱满、粒型大、色泽好、产量高。</w:t>
      </w:r>
      <w:r>
        <w:rPr>
          <w:rFonts w:hint="eastAsia" w:ascii="仿宋" w:hAnsi="仿宋" w:eastAsia="仿宋" w:cs="仿宋"/>
          <w:sz w:val="32"/>
          <w:szCs w:val="32"/>
          <w:lang w:val="en-US" w:eastAsia="zh-CN"/>
        </w:rPr>
        <w:t>2022年向日</w:t>
      </w:r>
      <w:r>
        <w:rPr>
          <w:rFonts w:hint="eastAsia" w:ascii="仿宋" w:hAnsi="仿宋" w:eastAsia="仿宋" w:cs="仿宋"/>
          <w:sz w:val="32"/>
          <w:szCs w:val="32"/>
        </w:rPr>
        <w:t>葵种植面积在</w:t>
      </w:r>
      <w:r>
        <w:rPr>
          <w:rFonts w:hint="eastAsia" w:ascii="仿宋" w:hAnsi="仿宋" w:eastAsia="仿宋" w:cs="仿宋"/>
          <w:sz w:val="32"/>
          <w:szCs w:val="32"/>
          <w:lang w:val="en-US" w:eastAsia="zh-CN"/>
        </w:rPr>
        <w:t>362多</w:t>
      </w:r>
      <w:r>
        <w:rPr>
          <w:rFonts w:hint="eastAsia" w:ascii="仿宋" w:hAnsi="仿宋" w:eastAsia="仿宋" w:cs="仿宋"/>
          <w:sz w:val="32"/>
          <w:szCs w:val="32"/>
        </w:rPr>
        <w:t>万亩，产量</w:t>
      </w:r>
      <w:r>
        <w:rPr>
          <w:rFonts w:hint="eastAsia" w:ascii="仿宋" w:hAnsi="仿宋" w:eastAsia="仿宋" w:cs="仿宋"/>
          <w:sz w:val="32"/>
          <w:szCs w:val="32"/>
          <w:lang w:val="en-US" w:eastAsia="zh-CN"/>
        </w:rPr>
        <w:t>174.4万吨</w:t>
      </w:r>
      <w:r>
        <w:rPr>
          <w:rFonts w:hint="eastAsia" w:ascii="仿宋" w:hAnsi="仿宋" w:eastAsia="仿宋" w:cs="仿宋"/>
          <w:sz w:val="32"/>
          <w:szCs w:val="32"/>
          <w:lang w:eastAsia="zh-CN"/>
        </w:rPr>
        <w:t>。</w:t>
      </w:r>
    </w:p>
    <w:p>
      <w:pPr>
        <w:spacing w:line="520" w:lineRule="exact"/>
        <w:rPr>
          <w:rFonts w:hint="eastAsia" w:ascii="仿宋" w:hAnsi="仿宋" w:eastAsia="仿宋" w:cs="仿宋"/>
          <w:b/>
          <w:bCs/>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：建设年产3万吨葵花露、葵仁饮料生产线，项目选址在临河区建立向日葵标准化示范园区。</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：总投资</w:t>
      </w:r>
      <w:r>
        <w:rPr>
          <w:rFonts w:hint="eastAsia" w:ascii="仿宋" w:hAnsi="仿宋" w:eastAsia="仿宋" w:cs="仿宋"/>
          <w:sz w:val="32"/>
          <w:szCs w:val="32"/>
          <w:lang w:val="en-US" w:eastAsia="zh-CN"/>
        </w:rPr>
        <w:t>2亿元，建设投资1.2亿元。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2亿元，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1.6亿元。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b/>
          <w:bCs/>
          <w:kern w:val="44"/>
          <w:sz w:val="44"/>
          <w:szCs w:val="44"/>
        </w:rPr>
      </w:pPr>
      <w:r>
        <w:rPr>
          <w:rFonts w:hint="eastAsia" w:ascii="Times New Roman" w:hAnsi="Times New Roman"/>
          <w:b/>
          <w:bCs/>
          <w:kern w:val="44"/>
          <w:sz w:val="44"/>
          <w:szCs w:val="44"/>
          <w:lang w:val="en-US" w:eastAsia="zh-CN"/>
        </w:rPr>
        <w:t>向日葵葵盘、葵杆制取果胶项目</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rPr>
        <w:t>项目背景：</w:t>
      </w:r>
      <w:r>
        <w:rPr>
          <w:rFonts w:hint="eastAsia" w:ascii="仿宋" w:hAnsi="仿宋" w:eastAsia="仿宋" w:cs="仿宋"/>
          <w:sz w:val="32"/>
          <w:szCs w:val="32"/>
        </w:rPr>
        <w:t>根据我国《食品添加剂食用卫生标准》（GB2760-1996）中规定：果胶可按生产需要适量用于各类食品。果胶可用于果酱、果冻的制造制造果汁粉等。高脂果胶主要用于酸性的果酱、果冻、凝胶软糖</w:t>
      </w:r>
      <w:r>
        <w:rPr>
          <w:rFonts w:hint="eastAsia" w:ascii="仿宋" w:hAnsi="仿宋" w:eastAsia="仿宋" w:cs="仿宋"/>
          <w:sz w:val="32"/>
          <w:szCs w:val="32"/>
          <w:lang w:eastAsia="zh-CN"/>
        </w:rPr>
        <w:t>、</w:t>
      </w:r>
      <w:r>
        <w:rPr>
          <w:rFonts w:hint="eastAsia" w:ascii="仿宋" w:hAnsi="仿宋" w:eastAsia="仿宋" w:cs="仿宋"/>
          <w:sz w:val="32"/>
          <w:szCs w:val="32"/>
        </w:rPr>
        <w:t>乳酸菌饮料等。向日葵</w:t>
      </w:r>
      <w:r>
        <w:rPr>
          <w:rFonts w:hint="eastAsia" w:ascii="仿宋" w:hAnsi="仿宋" w:eastAsia="仿宋" w:cs="仿宋"/>
          <w:sz w:val="32"/>
          <w:szCs w:val="32"/>
          <w:lang w:val="en-US" w:eastAsia="zh-CN"/>
        </w:rPr>
        <w:t>我市</w:t>
      </w:r>
      <w:r>
        <w:rPr>
          <w:rFonts w:hint="eastAsia" w:ascii="仿宋" w:hAnsi="仿宋" w:eastAsia="仿宋" w:cs="仿宋"/>
          <w:sz w:val="32"/>
          <w:szCs w:val="32"/>
        </w:rPr>
        <w:t>农民经济收入的重要来源，占农民种植业收入的三分之一以上。向日葵果盘和葵杆</w:t>
      </w:r>
      <w:r>
        <w:rPr>
          <w:rFonts w:hint="eastAsia" w:ascii="仿宋" w:hAnsi="仿宋" w:eastAsia="仿宋" w:cs="仿宋"/>
          <w:sz w:val="32"/>
          <w:szCs w:val="32"/>
          <w:lang w:val="en-US" w:eastAsia="zh-CN"/>
        </w:rPr>
        <w:t>优质</w:t>
      </w:r>
      <w:r>
        <w:rPr>
          <w:rFonts w:hint="eastAsia" w:ascii="仿宋" w:hAnsi="仿宋" w:eastAsia="仿宋" w:cs="仿宋"/>
          <w:sz w:val="32"/>
          <w:szCs w:val="32"/>
        </w:rPr>
        <w:t>的果胶原料，发展向日葵葵盘和葵杆制取果胶是农业供给侧结构性改革需求。</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rPr>
        <w:t>巴彦淖尔市是国家和自治区西部地区最大的食用向日葵种植与集散地，种植面积</w:t>
      </w:r>
      <w:r>
        <w:rPr>
          <w:rFonts w:hint="eastAsia" w:ascii="仿宋" w:hAnsi="仿宋" w:eastAsia="仿宋" w:cs="仿宋"/>
          <w:sz w:val="32"/>
          <w:szCs w:val="32"/>
          <w:lang w:val="en-US" w:eastAsia="zh-CN"/>
        </w:rPr>
        <w:t>稳定在</w:t>
      </w:r>
      <w:r>
        <w:rPr>
          <w:rFonts w:hint="eastAsia" w:ascii="仿宋" w:hAnsi="仿宋" w:eastAsia="仿宋" w:cs="仿宋"/>
          <w:sz w:val="32"/>
          <w:szCs w:val="32"/>
        </w:rPr>
        <w:t>400万亩，葵花籽加工企业有120家，建立交易市场55处，年交易量143万吨，年加工80万吨。生产的食用向日葵籽粒饱满、粒型大、色泽好、产量高。可以获得充足的向日葵盘、葵杆原料，在此基础上，建设果胶制造工厂，开启向日葵盘、葵杆果胶制取，可形成果胶产业。</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建立向日葵葵盘、葵杆制取果胶标准化厂房，进行果胶的制取与销售，再开拓产业链下游，开展食品加工业，使得果胶有更好的利用，并生产出更多终端消费产品。</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投资</w:t>
      </w:r>
      <w:r>
        <w:rPr>
          <w:rFonts w:hint="eastAsia" w:ascii="仿宋" w:hAnsi="仿宋" w:eastAsia="仿宋" w:cs="仿宋"/>
          <w:b/>
          <w:bCs/>
          <w:sz w:val="32"/>
          <w:szCs w:val="32"/>
          <w:lang w:eastAsia="zh-CN"/>
        </w:rPr>
        <w:t>估算：</w:t>
      </w:r>
      <w:r>
        <w:rPr>
          <w:rFonts w:hint="eastAsia" w:ascii="仿宋" w:hAnsi="仿宋" w:eastAsia="仿宋" w:cs="仿宋"/>
          <w:sz w:val="32"/>
          <w:szCs w:val="32"/>
          <w:lang w:val="en-US" w:eastAsia="zh-CN"/>
        </w:rPr>
        <w:t>总投资50000万元。</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效益预测</w:t>
      </w:r>
      <w:r>
        <w:rPr>
          <w:rFonts w:hint="eastAsia" w:ascii="仿宋" w:hAnsi="仿宋" w:eastAsia="仿宋" w:cs="仿宋"/>
          <w:b/>
          <w:bCs/>
          <w:sz w:val="32"/>
          <w:szCs w:val="32"/>
          <w:lang w:eastAsia="zh-CN"/>
        </w:rPr>
        <w:t>：</w:t>
      </w:r>
      <w:r>
        <w:rPr>
          <w:rFonts w:hint="eastAsia" w:ascii="仿宋" w:hAnsi="仿宋" w:eastAsia="仿宋" w:cs="仿宋"/>
          <w:sz w:val="32"/>
          <w:szCs w:val="32"/>
          <w:lang w:val="zh-CN" w:eastAsia="zh-CN"/>
        </w:rPr>
        <w:t>销售收入</w:t>
      </w:r>
      <w:r>
        <w:rPr>
          <w:rFonts w:hint="eastAsia" w:ascii="仿宋" w:hAnsi="仿宋" w:eastAsia="仿宋" w:cs="仿宋"/>
          <w:sz w:val="32"/>
          <w:szCs w:val="32"/>
          <w:lang w:val="en-US" w:eastAsia="zh-CN"/>
        </w:rPr>
        <w:t>4000</w:t>
      </w:r>
      <w:r>
        <w:rPr>
          <w:rFonts w:hint="eastAsia" w:ascii="仿宋" w:hAnsi="仿宋" w:eastAsia="仿宋" w:cs="仿宋"/>
          <w:sz w:val="32"/>
          <w:szCs w:val="32"/>
          <w:lang w:val="zh-CN" w:eastAsia="zh-CN"/>
        </w:rPr>
        <w:t>0</w:t>
      </w:r>
      <w:r>
        <w:rPr>
          <w:rFonts w:hint="eastAsia" w:ascii="仿宋" w:hAnsi="仿宋" w:eastAsia="仿宋" w:cs="仿宋"/>
          <w:sz w:val="32"/>
          <w:szCs w:val="32"/>
          <w:lang w:val="en-US" w:eastAsia="zh-CN"/>
        </w:rPr>
        <w:t>万元，年均利润24000万元，税金4000万元。</w:t>
      </w: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r>
        <w:rPr>
          <w:rFonts w:hint="eastAsia" w:ascii="Times New Roman" w:hAnsi="Times New Roman"/>
          <w:b/>
          <w:bCs/>
          <w:kern w:val="44"/>
          <w:sz w:val="44"/>
          <w:szCs w:val="44"/>
        </w:rPr>
        <w:t>鲜枸杞复合果汁饮料加工项目</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b/>
          <w:bCs/>
          <w:kern w:val="44"/>
          <w:sz w:val="44"/>
          <w:szCs w:val="44"/>
          <w:lang w:val="en-US" w:eastAsia="zh-CN"/>
        </w:rPr>
      </w:pPr>
    </w:p>
    <w:p>
      <w:pPr>
        <w:keepNext w:val="0"/>
        <w:keepLines w:val="0"/>
        <w:pageBreakBefore w:val="0"/>
        <w:widowControl w:val="0"/>
        <w:kinsoku/>
        <w:wordWrap/>
        <w:overflowPunct/>
        <w:topLinePunct w:val="0"/>
        <w:autoSpaceDE/>
        <w:autoSpaceDN/>
        <w:bidi w:val="0"/>
        <w:spacing w:line="600" w:lineRule="exact"/>
        <w:jc w:val="left"/>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eastAsia" w:ascii="仿宋" w:hAnsi="仿宋" w:eastAsia="仿宋" w:cs="仿宋"/>
          <w:kern w:val="0"/>
          <w:sz w:val="32"/>
          <w:szCs w:val="32"/>
        </w:rPr>
        <w:t>枸杞是驰名中外的名贵中草药，在我国的传统医学中具有重要地位和药用价值，备受历代医学家推崇，是传统的名贵中药材和营养滋补品，有许多功效。随着健康产业的快速发展，作为药食同源之品的枸杞子被广泛用于保健食品的开发。枸杞中含有的多糖类物质具有调节免疫、降血糖、降血脂、抗肿瘤、抗疲劳等多重生物活性，为目前枸杞子深加工过程中资源化利用程度较高的资源性物质</w:t>
      </w:r>
      <w:r>
        <w:rPr>
          <w:rFonts w:hint="eastAsia" w:ascii="仿宋" w:hAnsi="仿宋" w:eastAsia="仿宋" w:cs="仿宋"/>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kern w:val="0"/>
          <w:sz w:val="32"/>
          <w:szCs w:val="32"/>
        </w:rPr>
        <w:t>年加工鲜枸杞复合果汁饮料</w:t>
      </w:r>
      <w:r>
        <w:rPr>
          <w:rFonts w:hint="eastAsia" w:ascii="仿宋" w:hAnsi="仿宋" w:eastAsia="仿宋" w:cs="仿宋"/>
          <w:sz w:val="32"/>
          <w:szCs w:val="32"/>
        </w:rPr>
        <w:t>1000吨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主要原料</w:t>
      </w:r>
      <w:r>
        <w:rPr>
          <w:rFonts w:hint="eastAsia" w:ascii="仿宋" w:hAnsi="仿宋" w:eastAsia="仿宋" w:cs="仿宋"/>
          <w:kern w:val="0"/>
          <w:sz w:val="32"/>
          <w:szCs w:val="32"/>
        </w:rPr>
        <w:t>鲜食红葡萄、鲜枸杞</w:t>
      </w:r>
      <w:r>
        <w:rPr>
          <w:rFonts w:hint="eastAsia" w:ascii="仿宋" w:hAnsi="仿宋" w:eastAsia="仿宋" w:cs="仿宋"/>
          <w:kern w:val="0"/>
          <w:sz w:val="32"/>
          <w:szCs w:val="32"/>
          <w:lang w:eastAsia="zh-CN"/>
        </w:rPr>
        <w:t>。</w:t>
      </w:r>
    </w:p>
    <w:p>
      <w:pPr>
        <w:keepNext w:val="0"/>
        <w:keepLines w:val="0"/>
        <w:pageBreakBefore w:val="0"/>
        <w:widowControl w:val="0"/>
        <w:kinsoku/>
        <w:wordWrap/>
        <w:overflowPunct/>
        <w:topLinePunct w:val="0"/>
        <w:autoSpaceDE/>
        <w:autoSpaceDN/>
        <w:bidi w:val="0"/>
        <w:spacing w:line="6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
          <w:sz w:val="32"/>
          <w:szCs w:val="32"/>
          <w:lang w:val="en-US" w:eastAsia="zh-CN"/>
        </w:rPr>
        <w:t>总投资25.5亿元，其中基地建设8亿元，</w:t>
      </w:r>
      <w:r>
        <w:rPr>
          <w:rFonts w:hint="eastAsia" w:ascii="仿宋" w:hAnsi="仿宋" w:eastAsia="仿宋" w:cs="仿宋"/>
          <w:sz w:val="32"/>
          <w:szCs w:val="32"/>
        </w:rPr>
        <w:t>人工培训</w:t>
      </w:r>
      <w:r>
        <w:rPr>
          <w:rFonts w:hint="eastAsia" w:ascii="仿宋" w:hAnsi="仿宋" w:eastAsia="仿宋" w:cs="仿宋"/>
          <w:sz w:val="32"/>
          <w:szCs w:val="32"/>
          <w:lang w:val="en-US" w:eastAsia="zh-CN"/>
        </w:rPr>
        <w:t>5亿元，</w:t>
      </w:r>
      <w:r>
        <w:rPr>
          <w:rFonts w:hint="eastAsia" w:ascii="仿宋" w:hAnsi="仿宋" w:eastAsia="仿宋" w:cs="仿宋"/>
          <w:sz w:val="32"/>
          <w:szCs w:val="32"/>
        </w:rPr>
        <w:t>高新设备引入</w:t>
      </w:r>
      <w:r>
        <w:rPr>
          <w:rFonts w:hint="eastAsia" w:ascii="仿宋" w:hAnsi="仿宋" w:eastAsia="仿宋" w:cs="仿宋"/>
          <w:sz w:val="32"/>
          <w:szCs w:val="32"/>
          <w:lang w:val="en-US" w:eastAsia="zh-CN"/>
        </w:rPr>
        <w:t>12.5亿元。</w:t>
      </w:r>
    </w:p>
    <w:p>
      <w:pPr>
        <w:keepNext w:val="0"/>
        <w:keepLines w:val="0"/>
        <w:pageBreakBefore w:val="0"/>
        <w:widowControl w:val="0"/>
        <w:kinsoku/>
        <w:wordWrap/>
        <w:overflowPunct/>
        <w:topLinePunct w:val="0"/>
        <w:autoSpaceDE/>
        <w:autoSpaceDN/>
        <w:bidi w:val="0"/>
        <w:adjustRightInd/>
        <w:spacing w:line="6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3.2亿元，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3.05亿元。</w:t>
      </w: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left"/>
        <w:rPr>
          <w:rFonts w:hint="eastAsia" w:ascii="仿宋" w:hAnsi="仿宋" w:eastAsia="仿宋" w:cs="仿宋"/>
          <w:b/>
          <w:bCs/>
          <w:sz w:val="32"/>
          <w:szCs w:val="32"/>
          <w:lang w:val="en-US" w:eastAsia="zh-CN"/>
        </w:rPr>
      </w:pPr>
    </w:p>
    <w:p>
      <w:pPr>
        <w:pStyle w:val="5"/>
        <w:keepNext/>
        <w:keepLines/>
        <w:pageBreakBefore w:val="0"/>
        <w:widowControl w:val="0"/>
        <w:kinsoku/>
        <w:wordWrap/>
        <w:overflowPunct/>
        <w:topLinePunct w:val="0"/>
        <w:autoSpaceDE/>
        <w:autoSpaceDN/>
        <w:bidi w:val="0"/>
        <w:adjustRightInd/>
        <w:snapToGrid/>
        <w:spacing w:before="0" w:after="0" w:line="540" w:lineRule="exact"/>
        <w:ind w:left="0" w:leftChars="0" w:right="0" w:rightChars="0" w:firstLine="0" w:firstLineChars="0"/>
        <w:jc w:val="center"/>
        <w:textAlignment w:val="auto"/>
        <w:outlineLvl w:val="2"/>
        <w:rPr>
          <w:rFonts w:hint="eastAsia" w:ascii="仿宋" w:hAnsi="仿宋" w:eastAsia="仿宋" w:cs="仿宋"/>
          <w:b/>
          <w:bCs/>
          <w:sz w:val="32"/>
          <w:szCs w:val="32"/>
          <w:lang w:val="en-US" w:eastAsia="zh-CN"/>
        </w:rPr>
      </w:pPr>
      <w:r>
        <w:rPr>
          <w:rFonts w:hint="eastAsia" w:ascii="宋体" w:hAnsi="宋体" w:eastAsia="宋体" w:cs="宋体"/>
          <w:sz w:val="44"/>
          <w:szCs w:val="44"/>
        </w:rPr>
        <w:t>蕃茄红素</w:t>
      </w:r>
      <w:r>
        <w:rPr>
          <w:rFonts w:hint="eastAsia" w:ascii="宋体" w:hAnsi="宋体" w:eastAsia="宋体" w:cs="宋体"/>
          <w:sz w:val="44"/>
          <w:szCs w:val="44"/>
          <w:lang w:val="en-US" w:eastAsia="zh-CN"/>
        </w:rPr>
        <w:t>提取</w:t>
      </w:r>
      <w:r>
        <w:rPr>
          <w:rFonts w:hint="eastAsia" w:ascii="宋体" w:hAnsi="宋体" w:eastAsia="宋体" w:cs="宋体"/>
          <w:sz w:val="44"/>
          <w:szCs w:val="44"/>
        </w:rPr>
        <w:t>项目</w:t>
      </w:r>
    </w:p>
    <w:p>
      <w:pPr>
        <w:jc w:val="left"/>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right="0" w:rightChars="0"/>
        <w:jc w:val="both"/>
        <w:textAlignment w:val="auto"/>
        <w:outlineLvl w:val="9"/>
        <w:rPr>
          <w:rFonts w:hint="eastAsia" w:ascii="仿宋" w:hAnsi="仿宋" w:eastAsia="仿宋" w:cs="仿宋_GB2312"/>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w:t>
      </w:r>
      <w:r>
        <w:rPr>
          <w:rStyle w:val="18"/>
          <w:rFonts w:hint="eastAsia" w:ascii="仿宋" w:hAnsi="仿宋" w:eastAsia="仿宋" w:cs="仿宋_GB2312"/>
          <w:b w:val="0"/>
          <w:bCs w:val="0"/>
          <w:szCs w:val="32"/>
        </w:rPr>
        <w:t>番茄红素主要存在于茄科植物西红柿的成熟果实中。</w:t>
      </w:r>
      <w:r>
        <w:rPr>
          <w:rFonts w:hint="eastAsia" w:ascii="仿宋" w:hAnsi="仿宋" w:eastAsia="仿宋" w:cs="仿宋_GB2312"/>
          <w:sz w:val="32"/>
          <w:szCs w:val="32"/>
        </w:rPr>
        <w:t>它是目前在自然界的植物中被发现的最强</w:t>
      </w:r>
      <w:r>
        <w:rPr>
          <w:rFonts w:ascii="仿宋" w:hAnsi="仿宋" w:eastAsia="仿宋"/>
          <w:sz w:val="32"/>
          <w:szCs w:val="32"/>
        </w:rPr>
        <w:fldChar w:fldCharType="begin"/>
      </w:r>
      <w:r>
        <w:rPr>
          <w:rFonts w:ascii="仿宋" w:hAnsi="仿宋" w:eastAsia="仿宋"/>
          <w:sz w:val="32"/>
          <w:szCs w:val="32"/>
        </w:rPr>
        <w:instrText xml:space="preserve">HYPERLINK "http://baike.baidu.com/view/53375.htm"</w:instrText>
      </w:r>
      <w:r>
        <w:rPr>
          <w:rFonts w:ascii="仿宋" w:hAnsi="仿宋" w:eastAsia="仿宋"/>
          <w:sz w:val="32"/>
          <w:szCs w:val="32"/>
        </w:rPr>
        <w:fldChar w:fldCharType="separate"/>
      </w:r>
      <w:r>
        <w:rPr>
          <w:rFonts w:hint="eastAsia" w:ascii="仿宋" w:hAnsi="仿宋" w:eastAsia="仿宋" w:cs="仿宋_GB2312"/>
          <w:sz w:val="32"/>
          <w:szCs w:val="32"/>
        </w:rPr>
        <w:t>抗氧化剂</w:t>
      </w:r>
      <w:r>
        <w:rPr>
          <w:rFonts w:ascii="仿宋" w:hAnsi="仿宋" w:eastAsia="仿宋"/>
          <w:sz w:val="32"/>
          <w:szCs w:val="32"/>
        </w:rPr>
        <w:fldChar w:fldCharType="end"/>
      </w:r>
      <w:r>
        <w:rPr>
          <w:rFonts w:hint="eastAsia" w:ascii="仿宋" w:hAnsi="仿宋" w:eastAsia="仿宋" w:cs="仿宋_GB2312"/>
          <w:sz w:val="32"/>
          <w:szCs w:val="32"/>
        </w:rPr>
        <w:t>之一。科学证明，人体内的单线态氧和氧</w:t>
      </w:r>
      <w:r>
        <w:rPr>
          <w:rFonts w:ascii="仿宋" w:hAnsi="仿宋" w:eastAsia="仿宋"/>
          <w:sz w:val="32"/>
          <w:szCs w:val="32"/>
        </w:rPr>
        <w:fldChar w:fldCharType="begin"/>
      </w:r>
      <w:r>
        <w:rPr>
          <w:rFonts w:ascii="仿宋" w:hAnsi="仿宋" w:eastAsia="仿宋"/>
          <w:sz w:val="32"/>
          <w:szCs w:val="32"/>
        </w:rPr>
        <w:instrText xml:space="preserve">HYPERLINK "http://baike.baidu.com/view/53337.htm"</w:instrText>
      </w:r>
      <w:r>
        <w:rPr>
          <w:rFonts w:ascii="仿宋" w:hAnsi="仿宋" w:eastAsia="仿宋"/>
          <w:sz w:val="32"/>
          <w:szCs w:val="32"/>
        </w:rPr>
        <w:fldChar w:fldCharType="separate"/>
      </w:r>
      <w:r>
        <w:rPr>
          <w:rFonts w:hint="eastAsia" w:ascii="仿宋" w:hAnsi="仿宋" w:eastAsia="仿宋" w:cs="仿宋_GB2312"/>
          <w:sz w:val="32"/>
          <w:szCs w:val="32"/>
        </w:rPr>
        <w:t>自由基</w:t>
      </w:r>
      <w:r>
        <w:rPr>
          <w:rFonts w:ascii="仿宋" w:hAnsi="仿宋" w:eastAsia="仿宋"/>
          <w:sz w:val="32"/>
          <w:szCs w:val="32"/>
        </w:rPr>
        <w:fldChar w:fldCharType="end"/>
      </w:r>
      <w:r>
        <w:rPr>
          <w:rFonts w:hint="eastAsia" w:ascii="仿宋" w:hAnsi="仿宋" w:eastAsia="仿宋" w:cs="仿宋_GB2312"/>
          <w:sz w:val="32"/>
          <w:szCs w:val="32"/>
        </w:rPr>
        <w:t>是侵害人体自身免疫系统的罪魁祸首。</w:t>
      </w:r>
      <w:r>
        <w:rPr>
          <w:rFonts w:ascii="仿宋" w:hAnsi="仿宋" w:eastAsia="仿宋"/>
          <w:sz w:val="32"/>
          <w:szCs w:val="32"/>
        </w:rPr>
        <w:fldChar w:fldCharType="begin"/>
      </w:r>
      <w:r>
        <w:rPr>
          <w:rFonts w:ascii="仿宋" w:hAnsi="仿宋" w:eastAsia="仿宋"/>
          <w:sz w:val="32"/>
          <w:szCs w:val="32"/>
        </w:rPr>
        <w:instrText xml:space="preserve">HYPERLINK "http://baike.baidu.com/view/21969.htm"</w:instrText>
      </w:r>
      <w:r>
        <w:rPr>
          <w:rFonts w:ascii="仿宋" w:hAnsi="仿宋" w:eastAsia="仿宋"/>
          <w:sz w:val="32"/>
          <w:szCs w:val="32"/>
        </w:rPr>
        <w:fldChar w:fldCharType="separate"/>
      </w:r>
      <w:r>
        <w:rPr>
          <w:rFonts w:hint="eastAsia" w:ascii="仿宋" w:hAnsi="仿宋" w:eastAsia="仿宋" w:cs="仿宋_GB2312"/>
          <w:sz w:val="32"/>
          <w:szCs w:val="32"/>
        </w:rPr>
        <w:t>番茄</w:t>
      </w:r>
      <w:r>
        <w:rPr>
          <w:rFonts w:ascii="仿宋" w:hAnsi="仿宋" w:eastAsia="仿宋"/>
          <w:sz w:val="32"/>
          <w:szCs w:val="32"/>
        </w:rPr>
        <w:fldChar w:fldCharType="end"/>
      </w:r>
      <w:r>
        <w:rPr>
          <w:rFonts w:hint="eastAsia" w:ascii="仿宋" w:hAnsi="仿宋" w:eastAsia="仿宋" w:cs="仿宋_GB2312"/>
          <w:sz w:val="32"/>
          <w:szCs w:val="32"/>
        </w:rPr>
        <w:t>红素清除</w:t>
      </w:r>
      <w:r>
        <w:rPr>
          <w:rFonts w:ascii="仿宋" w:hAnsi="仿宋" w:eastAsia="仿宋"/>
          <w:sz w:val="32"/>
          <w:szCs w:val="32"/>
        </w:rPr>
        <w:fldChar w:fldCharType="begin"/>
      </w:r>
      <w:r>
        <w:rPr>
          <w:rFonts w:ascii="仿宋" w:hAnsi="仿宋" w:eastAsia="仿宋"/>
          <w:sz w:val="32"/>
          <w:szCs w:val="32"/>
        </w:rPr>
        <w:instrText xml:space="preserve">HYPERLINK "http://baike.baidu.com/view/53337.htm"</w:instrText>
      </w:r>
      <w:r>
        <w:rPr>
          <w:rFonts w:ascii="仿宋" w:hAnsi="仿宋" w:eastAsia="仿宋"/>
          <w:sz w:val="32"/>
          <w:szCs w:val="32"/>
        </w:rPr>
        <w:fldChar w:fldCharType="separate"/>
      </w:r>
      <w:r>
        <w:rPr>
          <w:rFonts w:hint="eastAsia" w:ascii="仿宋" w:hAnsi="仿宋" w:eastAsia="仿宋" w:cs="仿宋_GB2312"/>
          <w:sz w:val="32"/>
          <w:szCs w:val="32"/>
        </w:rPr>
        <w:t>自由基</w:t>
      </w:r>
      <w:r>
        <w:rPr>
          <w:rFonts w:ascii="仿宋" w:hAnsi="仿宋" w:eastAsia="仿宋"/>
          <w:sz w:val="32"/>
          <w:szCs w:val="32"/>
        </w:rPr>
        <w:fldChar w:fldCharType="end"/>
      </w:r>
      <w:r>
        <w:rPr>
          <w:rFonts w:hint="eastAsia" w:ascii="仿宋" w:hAnsi="仿宋" w:eastAsia="仿宋" w:cs="仿宋_GB2312"/>
          <w:sz w:val="32"/>
          <w:szCs w:val="32"/>
        </w:rPr>
        <w:t>的功效远胜于其他</w:t>
      </w:r>
      <w:r>
        <w:rPr>
          <w:rFonts w:ascii="仿宋" w:hAnsi="仿宋" w:eastAsia="仿宋"/>
          <w:sz w:val="32"/>
          <w:szCs w:val="32"/>
        </w:rPr>
        <w:fldChar w:fldCharType="begin"/>
      </w:r>
      <w:r>
        <w:rPr>
          <w:rFonts w:ascii="仿宋" w:hAnsi="仿宋" w:eastAsia="仿宋"/>
          <w:sz w:val="32"/>
          <w:szCs w:val="32"/>
        </w:rPr>
        <w:instrText xml:space="preserve">HYPERLINK "http://baike.baidu.com/view/28901.htm"</w:instrText>
      </w:r>
      <w:r>
        <w:rPr>
          <w:rFonts w:ascii="仿宋" w:hAnsi="仿宋" w:eastAsia="仿宋"/>
          <w:sz w:val="32"/>
          <w:szCs w:val="32"/>
        </w:rPr>
        <w:fldChar w:fldCharType="separate"/>
      </w:r>
      <w:r>
        <w:rPr>
          <w:rFonts w:hint="eastAsia" w:ascii="仿宋" w:hAnsi="仿宋" w:eastAsia="仿宋" w:cs="仿宋_GB2312"/>
          <w:sz w:val="32"/>
          <w:szCs w:val="32"/>
        </w:rPr>
        <w:t>类胡萝卜素</w:t>
      </w:r>
      <w:r>
        <w:rPr>
          <w:rFonts w:ascii="仿宋" w:hAnsi="仿宋" w:eastAsia="仿宋"/>
          <w:sz w:val="32"/>
          <w:szCs w:val="32"/>
        </w:rPr>
        <w:fldChar w:fldCharType="end"/>
      </w:r>
      <w:r>
        <w:rPr>
          <w:rFonts w:hint="eastAsia" w:ascii="仿宋" w:hAnsi="仿宋" w:eastAsia="仿宋" w:cs="仿宋_GB2312"/>
          <w:sz w:val="32"/>
          <w:szCs w:val="32"/>
        </w:rPr>
        <w:t>和</w:t>
      </w:r>
      <w:r>
        <w:rPr>
          <w:rFonts w:ascii="仿宋" w:hAnsi="仿宋" w:eastAsia="仿宋"/>
          <w:sz w:val="32"/>
          <w:szCs w:val="32"/>
        </w:rPr>
        <w:fldChar w:fldCharType="begin"/>
      </w:r>
      <w:r>
        <w:rPr>
          <w:rFonts w:ascii="仿宋" w:hAnsi="仿宋" w:eastAsia="仿宋"/>
          <w:sz w:val="32"/>
          <w:szCs w:val="32"/>
        </w:rPr>
        <w:instrText xml:space="preserve">HYPERLINK "http://baike.baidu.com/view/42563.htm"</w:instrText>
      </w:r>
      <w:r>
        <w:rPr>
          <w:rFonts w:ascii="仿宋" w:hAnsi="仿宋" w:eastAsia="仿宋"/>
          <w:sz w:val="32"/>
          <w:szCs w:val="32"/>
        </w:rPr>
        <w:fldChar w:fldCharType="separate"/>
      </w:r>
      <w:r>
        <w:rPr>
          <w:rFonts w:hint="eastAsia" w:ascii="仿宋" w:hAnsi="仿宋" w:eastAsia="仿宋" w:cs="仿宋_GB2312"/>
          <w:sz w:val="32"/>
          <w:szCs w:val="32"/>
        </w:rPr>
        <w:t>维生素</w:t>
      </w:r>
      <w:r>
        <w:rPr>
          <w:rFonts w:ascii="仿宋" w:hAnsi="仿宋" w:eastAsia="仿宋" w:cs="仿宋_GB2312"/>
          <w:sz w:val="32"/>
          <w:szCs w:val="32"/>
        </w:rPr>
        <w:t>E</w:t>
      </w:r>
      <w:r>
        <w:rPr>
          <w:rFonts w:ascii="仿宋" w:hAnsi="仿宋" w:eastAsia="仿宋"/>
          <w:sz w:val="32"/>
          <w:szCs w:val="32"/>
        </w:rPr>
        <w:fldChar w:fldCharType="end"/>
      </w:r>
      <w:r>
        <w:rPr>
          <w:rFonts w:hint="eastAsia" w:ascii="仿宋" w:hAnsi="仿宋" w:eastAsia="仿宋" w:cs="仿宋_GB2312"/>
          <w:sz w:val="32"/>
          <w:szCs w:val="32"/>
        </w:rPr>
        <w:t>，其淬灭单线态氧速率常数是维生素</w:t>
      </w:r>
      <w:r>
        <w:rPr>
          <w:rFonts w:ascii="仿宋" w:hAnsi="仿宋" w:eastAsia="仿宋" w:cs="仿宋_GB2312"/>
          <w:sz w:val="32"/>
          <w:szCs w:val="32"/>
        </w:rPr>
        <w:t>E</w:t>
      </w:r>
      <w:r>
        <w:rPr>
          <w:rFonts w:hint="eastAsia" w:ascii="仿宋" w:hAnsi="仿宋" w:eastAsia="仿宋" w:cs="仿宋_GB2312"/>
          <w:sz w:val="32"/>
          <w:szCs w:val="32"/>
        </w:rPr>
        <w:t>的</w:t>
      </w:r>
      <w:r>
        <w:rPr>
          <w:rFonts w:ascii="仿宋" w:hAnsi="仿宋" w:eastAsia="仿宋" w:cs="仿宋_GB2312"/>
          <w:sz w:val="32"/>
          <w:szCs w:val="32"/>
        </w:rPr>
        <w:t>100</w:t>
      </w:r>
      <w:r>
        <w:rPr>
          <w:rFonts w:hint="eastAsia" w:ascii="仿宋" w:hAnsi="仿宋" w:eastAsia="仿宋" w:cs="仿宋_GB2312"/>
          <w:sz w:val="32"/>
          <w:szCs w:val="32"/>
        </w:rPr>
        <w:t>倍。它可以有效的防治因衰老，免疫力下降引起的各种疾病。美国、日本已相继生产出以番茄红素为主要活性成分的药品，其主要作用是降低血压、治疗高胆固醇、高血脂、降低癌细胞的活性等。美国、法国有用于预防前列腺癌的番茄红素产品。以色列、澳大利亚有用于防止紫外线灼伤，保护皮肤、健肤养颜的产品。番茄红素具有良好的保健作用，市场需求明显，前景广阔。</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640" w:firstLineChars="20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_GB2312"/>
          <w:sz w:val="32"/>
          <w:szCs w:val="32"/>
        </w:rPr>
        <w:t>巴彦淖尔市地处河套平原，</w:t>
      </w:r>
      <w:r>
        <w:rPr>
          <w:rFonts w:hint="eastAsia" w:ascii="仿宋" w:hAnsi="仿宋" w:eastAsia="仿宋" w:cs="仿宋_GB2312"/>
          <w:color w:val="auto"/>
          <w:sz w:val="32"/>
          <w:szCs w:val="32"/>
          <w:lang w:val="en-US" w:eastAsia="zh-CN"/>
        </w:rPr>
        <w:t>2022年</w:t>
      </w:r>
      <w:r>
        <w:rPr>
          <w:rFonts w:hint="eastAsia" w:ascii="仿宋" w:hAnsi="仿宋" w:eastAsia="仿宋" w:cs="仿宋_GB2312"/>
          <w:color w:val="auto"/>
          <w:sz w:val="32"/>
          <w:szCs w:val="32"/>
        </w:rPr>
        <w:t>番茄种植面积为</w:t>
      </w:r>
      <w:r>
        <w:rPr>
          <w:rFonts w:hint="eastAsia" w:ascii="仿宋" w:hAnsi="仿宋" w:eastAsia="仿宋" w:cs="仿宋_GB2312"/>
          <w:color w:val="auto"/>
          <w:sz w:val="32"/>
          <w:szCs w:val="32"/>
          <w:lang w:val="en-US" w:eastAsia="zh-CN"/>
        </w:rPr>
        <w:t>15.83</w:t>
      </w:r>
      <w:r>
        <w:rPr>
          <w:rFonts w:hint="eastAsia" w:ascii="仿宋" w:hAnsi="仿宋" w:eastAsia="仿宋" w:cs="仿宋_GB2312"/>
          <w:color w:val="auto"/>
          <w:sz w:val="32"/>
          <w:szCs w:val="32"/>
        </w:rPr>
        <w:t>万亩，年生产蕃茄</w:t>
      </w:r>
      <w:r>
        <w:rPr>
          <w:rFonts w:hint="eastAsia" w:ascii="仿宋" w:hAnsi="仿宋" w:eastAsia="仿宋" w:cs="仿宋_GB2312"/>
          <w:color w:val="auto"/>
          <w:sz w:val="32"/>
          <w:szCs w:val="32"/>
          <w:lang w:val="en-US" w:eastAsia="zh-CN"/>
        </w:rPr>
        <w:t>18.89</w:t>
      </w:r>
      <w:r>
        <w:rPr>
          <w:rFonts w:hint="eastAsia" w:ascii="仿宋_GB2312" w:hAnsi="仿宋_GB2312" w:eastAsia="仿宋_GB2312" w:cs="仿宋_GB2312"/>
          <w:color w:val="auto"/>
          <w:sz w:val="32"/>
          <w:szCs w:val="32"/>
        </w:rPr>
        <w:t>亿斤</w:t>
      </w:r>
      <w:r>
        <w:rPr>
          <w:rFonts w:hint="eastAsia" w:ascii="仿宋" w:hAnsi="仿宋" w:eastAsia="仿宋" w:cs="仿宋_GB2312"/>
          <w:color w:val="auto"/>
          <w:sz w:val="32"/>
          <w:szCs w:val="32"/>
        </w:rPr>
        <w:t>，</w:t>
      </w:r>
      <w:r>
        <w:rPr>
          <w:rFonts w:hint="eastAsia" w:ascii="仿宋" w:hAnsi="仿宋" w:eastAsia="仿宋" w:cs="仿宋_GB2312"/>
          <w:sz w:val="32"/>
          <w:szCs w:val="32"/>
        </w:rPr>
        <w:t>年加工番茄酱能力达到</w:t>
      </w:r>
      <w:r>
        <w:rPr>
          <w:rFonts w:ascii="仿宋" w:hAnsi="仿宋" w:eastAsia="仿宋" w:cs="仿宋_GB2312"/>
          <w:sz w:val="32"/>
          <w:szCs w:val="32"/>
        </w:rPr>
        <w:t>50</w:t>
      </w:r>
      <w:r>
        <w:rPr>
          <w:rFonts w:hint="eastAsia" w:ascii="仿宋" w:hAnsi="仿宋" w:eastAsia="仿宋" w:cs="仿宋_GB2312"/>
          <w:sz w:val="32"/>
          <w:szCs w:val="32"/>
        </w:rPr>
        <w:t>万吨，番茄品质优良，固形物和红色素含量较高</w:t>
      </w:r>
      <w:r>
        <w:rPr>
          <w:rFonts w:ascii="仿宋" w:hAnsi="仿宋" w:eastAsia="仿宋" w:cs="仿宋_GB2312"/>
          <w:sz w:val="32"/>
          <w:szCs w:val="32"/>
        </w:rPr>
        <w:t>,</w:t>
      </w:r>
      <w:r>
        <w:rPr>
          <w:rFonts w:hint="eastAsia" w:ascii="仿宋" w:hAnsi="仿宋" w:eastAsia="仿宋" w:cs="仿宋_GB2312"/>
          <w:sz w:val="32"/>
          <w:szCs w:val="32"/>
        </w:rPr>
        <w:t>一般番茄果实中番茄红素含量为</w:t>
      </w:r>
      <w:r>
        <w:rPr>
          <w:rFonts w:ascii="仿宋" w:hAnsi="仿宋" w:eastAsia="仿宋" w:cs="仿宋_GB2312"/>
          <w:sz w:val="32"/>
          <w:szCs w:val="32"/>
        </w:rPr>
        <w:t>3-14mg/100g</w:t>
      </w:r>
      <w:r>
        <w:rPr>
          <w:rFonts w:hint="eastAsia" w:ascii="仿宋" w:hAnsi="仿宋" w:eastAsia="仿宋" w:cs="仿宋_GB2312"/>
          <w:sz w:val="32"/>
          <w:szCs w:val="32"/>
        </w:rPr>
        <w:t>，部分地区达</w:t>
      </w:r>
      <w:r>
        <w:rPr>
          <w:rFonts w:ascii="仿宋" w:hAnsi="仿宋" w:eastAsia="仿宋" w:cs="仿宋_GB2312"/>
          <w:sz w:val="32"/>
          <w:szCs w:val="32"/>
        </w:rPr>
        <w:t>40</w:t>
      </w:r>
      <w:r>
        <w:rPr>
          <w:rFonts w:hint="eastAsia" w:ascii="仿宋" w:hAnsi="仿宋" w:eastAsia="仿宋" w:cs="仿宋_GB2312"/>
          <w:sz w:val="32"/>
          <w:szCs w:val="32"/>
        </w:rPr>
        <w:t>ｍ</w:t>
      </w:r>
      <w:r>
        <w:rPr>
          <w:rFonts w:ascii="仿宋" w:hAnsi="仿宋" w:eastAsia="仿宋" w:cs="仿宋_GB2312"/>
          <w:sz w:val="32"/>
          <w:szCs w:val="32"/>
        </w:rPr>
        <w:t>g/100g</w:t>
      </w:r>
      <w:r>
        <w:rPr>
          <w:rFonts w:hint="eastAsia" w:ascii="仿宋" w:hAnsi="仿宋" w:eastAsia="仿宋" w:cs="仿宋_GB2312"/>
          <w:sz w:val="32"/>
          <w:szCs w:val="32"/>
        </w:rPr>
        <w:t>以上。</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_GB2312"/>
          <w:sz w:val="32"/>
          <w:szCs w:val="32"/>
        </w:rPr>
        <w:t>一条番茄红素提取生产线，年产</w:t>
      </w:r>
      <w:r>
        <w:rPr>
          <w:rFonts w:ascii="仿宋" w:hAnsi="仿宋" w:eastAsia="仿宋" w:cs="仿宋_GB2312"/>
          <w:sz w:val="32"/>
          <w:szCs w:val="32"/>
        </w:rPr>
        <w:t>100</w:t>
      </w:r>
      <w:r>
        <w:rPr>
          <w:rFonts w:hint="eastAsia" w:ascii="仿宋" w:hAnsi="仿宋" w:eastAsia="仿宋" w:cs="仿宋_GB2312"/>
          <w:sz w:val="32"/>
          <w:szCs w:val="32"/>
        </w:rPr>
        <w:t>吨番茄红素，副产品</w:t>
      </w:r>
      <w:r>
        <w:rPr>
          <w:rFonts w:ascii="仿宋" w:hAnsi="仿宋" w:eastAsia="仿宋" w:cs="仿宋_GB2312"/>
          <w:sz w:val="32"/>
          <w:szCs w:val="32"/>
        </w:rPr>
        <w:t>100</w:t>
      </w:r>
      <w:r>
        <w:rPr>
          <w:rFonts w:hint="eastAsia" w:ascii="仿宋" w:hAnsi="仿宋" w:eastAsia="仿宋" w:cs="仿宋_GB2312"/>
          <w:sz w:val="32"/>
          <w:szCs w:val="32"/>
        </w:rPr>
        <w:t>吨番茄籽油</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_GB2312"/>
          <w:sz w:val="32"/>
          <w:szCs w:val="32"/>
        </w:rPr>
        <w:t>项目总投资</w:t>
      </w:r>
      <w:r>
        <w:rPr>
          <w:rFonts w:ascii="仿宋" w:hAnsi="仿宋" w:eastAsia="仿宋" w:cs="仿宋_GB2312"/>
          <w:sz w:val="32"/>
          <w:szCs w:val="32"/>
        </w:rPr>
        <w:t>1.8</w:t>
      </w:r>
      <w:r>
        <w:rPr>
          <w:rFonts w:hint="eastAsia" w:ascii="仿宋" w:hAnsi="仿宋" w:eastAsia="仿宋" w:cs="仿宋_GB2312"/>
          <w:sz w:val="32"/>
          <w:szCs w:val="32"/>
        </w:rPr>
        <w:t>亿元，含固定资产</w:t>
      </w:r>
      <w:r>
        <w:rPr>
          <w:rFonts w:ascii="仿宋" w:hAnsi="仿宋" w:eastAsia="仿宋" w:cs="仿宋_GB2312"/>
          <w:sz w:val="32"/>
          <w:szCs w:val="32"/>
        </w:rPr>
        <w:t>1.5</w:t>
      </w:r>
      <w:r>
        <w:rPr>
          <w:rFonts w:hint="eastAsia" w:ascii="仿宋" w:hAnsi="仿宋" w:eastAsia="仿宋" w:cs="仿宋_GB2312"/>
          <w:sz w:val="32"/>
          <w:szCs w:val="32"/>
        </w:rPr>
        <w:t>亿元。</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_GB2312"/>
          <w:sz w:val="32"/>
          <w:szCs w:val="32"/>
        </w:rPr>
        <w:t>可实现年收入</w:t>
      </w:r>
      <w:r>
        <w:rPr>
          <w:rFonts w:ascii="仿宋" w:hAnsi="仿宋" w:eastAsia="仿宋" w:cs="仿宋_GB2312"/>
          <w:sz w:val="32"/>
          <w:szCs w:val="32"/>
        </w:rPr>
        <w:t>2.4</w:t>
      </w:r>
      <w:r>
        <w:rPr>
          <w:rFonts w:hint="eastAsia" w:ascii="仿宋" w:hAnsi="仿宋" w:eastAsia="仿宋" w:cs="仿宋_GB2312"/>
          <w:sz w:val="32"/>
          <w:szCs w:val="32"/>
        </w:rPr>
        <w:t>亿元，利润</w:t>
      </w:r>
      <w:r>
        <w:rPr>
          <w:rFonts w:hint="eastAsia" w:ascii="仿宋" w:hAnsi="仿宋" w:eastAsia="仿宋" w:cs="仿宋_GB2312"/>
          <w:sz w:val="32"/>
          <w:szCs w:val="32"/>
          <w:lang w:val="en-US" w:eastAsia="zh-CN"/>
        </w:rPr>
        <w:t>0.</w:t>
      </w:r>
      <w:r>
        <w:rPr>
          <w:rFonts w:ascii="仿宋" w:hAnsi="仿宋" w:eastAsia="仿宋" w:cs="仿宋_GB2312"/>
          <w:sz w:val="32"/>
          <w:szCs w:val="32"/>
        </w:rPr>
        <w:t>7055</w:t>
      </w:r>
      <w:r>
        <w:rPr>
          <w:rFonts w:hint="eastAsia" w:ascii="仿宋" w:hAnsi="仿宋" w:eastAsia="仿宋" w:cs="仿宋_GB2312"/>
          <w:sz w:val="32"/>
          <w:szCs w:val="32"/>
          <w:lang w:eastAsia="zh-CN"/>
        </w:rPr>
        <w:t>亿</w:t>
      </w:r>
      <w:r>
        <w:rPr>
          <w:rFonts w:hint="eastAsia" w:ascii="仿宋" w:hAnsi="仿宋" w:eastAsia="仿宋" w:cs="仿宋_GB2312"/>
          <w:sz w:val="32"/>
          <w:szCs w:val="32"/>
        </w:rPr>
        <w:t>元。</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both"/>
        <w:rPr>
          <w:rFonts w:hint="eastAsia" w:ascii="Times New Roman" w:hAnsi="Times New Roman"/>
          <w:b/>
          <w:bCs/>
          <w:kern w:val="44"/>
          <w:sz w:val="44"/>
          <w:szCs w:val="44"/>
        </w:rPr>
      </w:pPr>
    </w:p>
    <w:p>
      <w:pPr>
        <w:jc w:val="center"/>
        <w:rPr>
          <w:rFonts w:hint="eastAsia" w:ascii="Times New Roman" w:hAnsi="Times New Roman"/>
          <w:b/>
          <w:bCs/>
          <w:kern w:val="44"/>
          <w:sz w:val="44"/>
          <w:szCs w:val="44"/>
        </w:rPr>
      </w:pPr>
      <w:r>
        <w:rPr>
          <w:rFonts w:hint="eastAsia" w:ascii="Times New Roman" w:hAnsi="Times New Roman"/>
          <w:b/>
          <w:bCs/>
          <w:kern w:val="44"/>
          <w:sz w:val="44"/>
          <w:szCs w:val="44"/>
        </w:rPr>
        <w:t>苹果梨果汁加工项目</w:t>
      </w:r>
    </w:p>
    <w:p>
      <w:pPr>
        <w:jc w:val="center"/>
        <w:rPr>
          <w:rFonts w:hint="eastAsia" w:ascii="Times New Roman" w:hAnsi="Times New Roman"/>
          <w:b/>
          <w:bCs/>
          <w:kern w:val="44"/>
          <w:sz w:val="44"/>
          <w:szCs w:val="44"/>
        </w:rPr>
      </w:pPr>
    </w:p>
    <w:p>
      <w:pPr>
        <w:adjustRightInd w:val="0"/>
        <w:snapToGrid w:val="0"/>
        <w:spacing w:line="520" w:lineRule="exact"/>
        <w:rPr>
          <w:rFonts w:hint="eastAsia" w:ascii="仿宋" w:hAnsi="仿宋" w:eastAsia="仿宋" w:cs="仿宋"/>
          <w:b/>
          <w:bCs/>
          <w:sz w:val="32"/>
          <w:szCs w:val="32"/>
          <w:lang w:eastAsia="zh-CN"/>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sz w:val="28"/>
          <w:szCs w:val="28"/>
        </w:rPr>
        <w:t>随着农村产业政策的调整，近年来果业发展迅速，桃、梨、苹果、柑桔等水果产量已接近2万吨，“卖果难”的现象日渐突出，也需要发展加工业来加以消化。巴彦淖尔市是中国苹果梨之乡。巴彦淖尔市林果主要有苹果梨、苹果、葡萄等，种植面积5.5 万亩，产量4.18 万吨，其中：苹果梨4 万亩，产量3.54 万吨，大部分集中于临河区和杭锦后旗，占全市苹果梨种植面积的75%。</w:t>
      </w:r>
    </w:p>
    <w:p>
      <w:pPr>
        <w:adjustRightInd w:val="0"/>
        <w:snapToGrid w:val="0"/>
        <w:spacing w:line="520" w:lineRule="exact"/>
        <w:rPr>
          <w:rFonts w:hint="eastAsia" w:ascii="仿宋" w:hAnsi="仿宋" w:eastAsia="仿宋" w:cs="仿宋"/>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rPr>
        <w:t>：</w:t>
      </w:r>
      <w:r>
        <w:rPr>
          <w:rFonts w:hint="eastAsia" w:ascii="仿宋" w:hAnsi="仿宋" w:eastAsia="仿宋" w:cs="仿宋"/>
          <w:bCs/>
          <w:sz w:val="28"/>
          <w:szCs w:val="28"/>
        </w:rPr>
        <w:t>巴彦淖尔市地处河套平原腹地，日照时间长，昼夜温差大，降水较少，灌溉及排水便利，被誉为“塞上江南”，巴彦淖尔市交通便利，包兰铁路、京藏高速、110国道均穿境而过，机场距市区33公里。项目区水、电、通讯设施齐全，配套费用低廉。</w:t>
      </w:r>
    </w:p>
    <w:p>
      <w:pPr>
        <w:adjustRightInd w:val="0"/>
        <w:snapToGrid w:val="0"/>
        <w:spacing w:line="520" w:lineRule="exact"/>
        <w:rPr>
          <w:rFonts w:hint="eastAsia" w:ascii="仿宋" w:hAnsi="仿宋" w:eastAsia="仿宋" w:cs="仿宋"/>
          <w:b/>
          <w:bCs/>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bCs/>
          <w:sz w:val="28"/>
          <w:szCs w:val="28"/>
        </w:rPr>
        <w:t>本项目建设5万吨苹果梨果汁生产线一条。虽然我国水果产量很高，但大都是只适合鲜食而不适合加工成果汁。根据国际行情，酸度越高越好销，价格也越高；一般酸度每增加0.5度价格就提高 1000元/吨</w:t>
      </w:r>
      <w:r>
        <w:rPr>
          <w:rFonts w:hint="eastAsia" w:ascii="仿宋" w:hAnsi="仿宋" w:eastAsia="仿宋" w:cs="仿宋"/>
          <w:bCs/>
          <w:sz w:val="28"/>
          <w:szCs w:val="28"/>
          <w:lang w:eastAsia="zh-CN"/>
        </w:rPr>
        <w:t>，</w:t>
      </w:r>
      <w:r>
        <w:rPr>
          <w:rFonts w:hint="eastAsia" w:ascii="仿宋" w:hAnsi="仿宋" w:eastAsia="仿宋" w:cs="仿宋"/>
          <w:bCs/>
          <w:sz w:val="28"/>
          <w:szCs w:val="28"/>
        </w:rPr>
        <w:t>国外浓缩果汁酸度一般为3.5—7度，我国仅仅1.2—1.7度。以苹果为例，国际市场上的浓缩苹果汁是以酸度较高的产品受欢迎而且卖价好</w:t>
      </w:r>
      <w:r>
        <w:rPr>
          <w:rFonts w:hint="eastAsia" w:ascii="仿宋" w:hAnsi="仿宋" w:eastAsia="仿宋" w:cs="仿宋"/>
          <w:bCs/>
          <w:sz w:val="28"/>
          <w:szCs w:val="28"/>
          <w:lang w:eastAsia="zh-CN"/>
        </w:rPr>
        <w:t>，</w:t>
      </w:r>
      <w:r>
        <w:rPr>
          <w:rFonts w:hint="eastAsia" w:ascii="仿宋" w:hAnsi="仿宋" w:eastAsia="仿宋" w:cs="仿宋"/>
          <w:bCs/>
          <w:sz w:val="28"/>
          <w:szCs w:val="28"/>
        </w:rPr>
        <w:t>这就需要大量的酸味苹果作原料。而我国的果农果商都是看准国内鲜果市场，似乎是越甜越好，而酸味品种则是越种越少。所以，国产浓缩苹果汁企业的原料越来越紧张，即使是降低标准，以残次杂果为主，仍然是供不应求。因此，巴彦淖尔市可以依托苹果梨已有的优势，在原材料质量和工艺水平上有所突破，并且产能能够适应未来的新增需求。</w:t>
      </w:r>
    </w:p>
    <w:p>
      <w:pPr>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宋体" w:hAnsi="宋体" w:cs="宋体"/>
          <w:b/>
          <w:sz w:val="28"/>
          <w:szCs w:val="28"/>
        </w:rPr>
        <w:t>技术经济指标估算</w:t>
      </w:r>
      <w:r>
        <w:rPr>
          <w:rFonts w:hint="eastAsia" w:ascii="仿宋" w:hAnsi="仿宋" w:eastAsia="仿宋" w:cs="仿宋"/>
          <w:sz w:val="32"/>
          <w:szCs w:val="32"/>
        </w:rPr>
        <w:t>：</w:t>
      </w:r>
    </w:p>
    <w:tbl>
      <w:tblPr>
        <w:tblStyle w:val="12"/>
        <w:tblW w:w="8352" w:type="dxa"/>
        <w:tblInd w:w="25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8"/>
        <w:gridCol w:w="2258"/>
        <w:gridCol w:w="1619"/>
        <w:gridCol w:w="1619"/>
        <w:gridCol w:w="187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978" w:type="dxa"/>
            <w:vAlign w:val="center"/>
          </w:tcPr>
          <w:p>
            <w:pPr>
              <w:spacing w:line="440" w:lineRule="exact"/>
              <w:rPr>
                <w:rFonts w:ascii="宋体" w:cs="宋体"/>
                <w:sz w:val="24"/>
                <w:szCs w:val="28"/>
              </w:rPr>
            </w:pPr>
            <w:r>
              <w:rPr>
                <w:rFonts w:ascii="宋体" w:hAnsi="宋体" w:cs="宋体"/>
                <w:sz w:val="24"/>
                <w:szCs w:val="28"/>
              </w:rPr>
              <w:t xml:space="preserve"> </w:t>
            </w:r>
            <w:r>
              <w:rPr>
                <w:rFonts w:hint="eastAsia" w:ascii="宋体" w:hAnsi="宋体" w:cs="宋体"/>
                <w:sz w:val="24"/>
                <w:szCs w:val="28"/>
              </w:rPr>
              <w:t>序号</w:t>
            </w:r>
          </w:p>
        </w:tc>
        <w:tc>
          <w:tcPr>
            <w:tcW w:w="2258" w:type="dxa"/>
            <w:vAlign w:val="center"/>
          </w:tcPr>
          <w:p>
            <w:pPr>
              <w:spacing w:line="440" w:lineRule="exact"/>
              <w:jc w:val="center"/>
              <w:rPr>
                <w:rFonts w:ascii="宋体" w:cs="宋体"/>
                <w:sz w:val="24"/>
                <w:szCs w:val="28"/>
              </w:rPr>
            </w:pPr>
            <w:r>
              <w:rPr>
                <w:rFonts w:hint="eastAsia" w:ascii="宋体" w:hAnsi="宋体" w:cs="宋体"/>
                <w:sz w:val="24"/>
                <w:szCs w:val="28"/>
              </w:rPr>
              <w:t>项目名称</w:t>
            </w:r>
          </w:p>
        </w:tc>
        <w:tc>
          <w:tcPr>
            <w:tcW w:w="1619" w:type="dxa"/>
            <w:vAlign w:val="center"/>
          </w:tcPr>
          <w:p>
            <w:pPr>
              <w:spacing w:line="440" w:lineRule="exact"/>
              <w:jc w:val="center"/>
              <w:rPr>
                <w:rFonts w:ascii="宋体" w:cs="宋体"/>
                <w:sz w:val="24"/>
                <w:szCs w:val="28"/>
              </w:rPr>
            </w:pPr>
            <w:r>
              <w:rPr>
                <w:rFonts w:hint="eastAsia" w:ascii="宋体" w:hAnsi="宋体" w:cs="宋体"/>
                <w:sz w:val="24"/>
                <w:szCs w:val="28"/>
              </w:rPr>
              <w:t>单位</w:t>
            </w:r>
          </w:p>
        </w:tc>
        <w:tc>
          <w:tcPr>
            <w:tcW w:w="1619" w:type="dxa"/>
            <w:vAlign w:val="center"/>
          </w:tcPr>
          <w:p>
            <w:pPr>
              <w:spacing w:line="440" w:lineRule="exact"/>
              <w:jc w:val="center"/>
              <w:rPr>
                <w:rFonts w:ascii="宋体" w:cs="宋体"/>
                <w:sz w:val="24"/>
                <w:szCs w:val="28"/>
              </w:rPr>
            </w:pPr>
            <w:r>
              <w:rPr>
                <w:rFonts w:hint="eastAsia" w:ascii="宋体" w:hAnsi="宋体" w:cs="宋体"/>
                <w:sz w:val="24"/>
                <w:szCs w:val="28"/>
              </w:rPr>
              <w:t>数量</w:t>
            </w:r>
          </w:p>
        </w:tc>
        <w:tc>
          <w:tcPr>
            <w:tcW w:w="1878" w:type="dxa"/>
            <w:vAlign w:val="center"/>
          </w:tcPr>
          <w:p>
            <w:pPr>
              <w:spacing w:line="440" w:lineRule="exact"/>
              <w:jc w:val="center"/>
              <w:rPr>
                <w:rFonts w:ascii="宋体" w:cs="宋体"/>
                <w:sz w:val="24"/>
                <w:szCs w:val="28"/>
              </w:rPr>
            </w:pPr>
            <w:r>
              <w:rPr>
                <w:rFonts w:hint="eastAsia" w:ascii="宋体" w:hAnsi="宋体" w:cs="宋体"/>
                <w:sz w:val="24"/>
                <w:szCs w:val="28"/>
              </w:rPr>
              <w:t>备</w:t>
            </w:r>
            <w:r>
              <w:rPr>
                <w:rFonts w:ascii="宋体" w:hAnsi="宋体" w:cs="宋体"/>
                <w:sz w:val="24"/>
                <w:szCs w:val="28"/>
              </w:rPr>
              <w:t xml:space="preserve">  </w:t>
            </w:r>
            <w:r>
              <w:rPr>
                <w:rFonts w:hint="eastAsia" w:ascii="宋体" w:hAnsi="宋体" w:cs="宋体"/>
                <w:sz w:val="24"/>
                <w:szCs w:val="28"/>
              </w:rPr>
              <w:t>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440" w:lineRule="exact"/>
              <w:jc w:val="center"/>
              <w:rPr>
                <w:rFonts w:ascii="宋体" w:cs="宋体"/>
                <w:sz w:val="24"/>
                <w:szCs w:val="28"/>
              </w:rPr>
            </w:pPr>
            <w:r>
              <w:rPr>
                <w:rFonts w:ascii="宋体" w:hAnsi="宋体" w:cs="宋体"/>
                <w:sz w:val="24"/>
                <w:szCs w:val="28"/>
              </w:rPr>
              <w:t>1</w:t>
            </w:r>
          </w:p>
        </w:tc>
        <w:tc>
          <w:tcPr>
            <w:tcW w:w="2258" w:type="dxa"/>
            <w:vAlign w:val="center"/>
          </w:tcPr>
          <w:p>
            <w:pPr>
              <w:spacing w:line="440" w:lineRule="exact"/>
              <w:jc w:val="center"/>
              <w:rPr>
                <w:rFonts w:ascii="宋体" w:cs="宋体"/>
                <w:sz w:val="24"/>
                <w:szCs w:val="28"/>
              </w:rPr>
            </w:pPr>
            <w:r>
              <w:rPr>
                <w:rFonts w:hint="eastAsia" w:ascii="宋体" w:hAnsi="宋体" w:cs="宋体"/>
                <w:sz w:val="24"/>
                <w:szCs w:val="28"/>
              </w:rPr>
              <w:t>总投资</w:t>
            </w:r>
          </w:p>
        </w:tc>
        <w:tc>
          <w:tcPr>
            <w:tcW w:w="1619" w:type="dxa"/>
            <w:vAlign w:val="center"/>
          </w:tcPr>
          <w:p>
            <w:pPr>
              <w:spacing w:line="440" w:lineRule="exact"/>
              <w:jc w:val="center"/>
              <w:rPr>
                <w:rFonts w:ascii="宋体" w:cs="宋体"/>
                <w:sz w:val="24"/>
                <w:szCs w:val="28"/>
              </w:rPr>
            </w:pPr>
            <w:r>
              <w:rPr>
                <w:rFonts w:hint="eastAsia" w:ascii="宋体" w:hAnsi="宋体" w:cs="宋体"/>
                <w:sz w:val="24"/>
                <w:szCs w:val="28"/>
              </w:rPr>
              <w:t>万元</w:t>
            </w:r>
          </w:p>
        </w:tc>
        <w:tc>
          <w:tcPr>
            <w:tcW w:w="1619" w:type="dxa"/>
            <w:vAlign w:val="center"/>
          </w:tcPr>
          <w:p>
            <w:pPr>
              <w:spacing w:line="440" w:lineRule="exact"/>
              <w:jc w:val="center"/>
              <w:rPr>
                <w:rFonts w:ascii="宋体" w:cs="宋体"/>
                <w:sz w:val="24"/>
                <w:szCs w:val="28"/>
              </w:rPr>
            </w:pPr>
            <w:r>
              <w:rPr>
                <w:rFonts w:ascii="宋体" w:hAnsi="宋体" w:cs="宋体"/>
                <w:sz w:val="24"/>
                <w:szCs w:val="28"/>
              </w:rPr>
              <w:t>16231</w:t>
            </w:r>
          </w:p>
        </w:tc>
        <w:tc>
          <w:tcPr>
            <w:tcW w:w="1878" w:type="dxa"/>
            <w:vAlign w:val="center"/>
          </w:tcPr>
          <w:p>
            <w:pPr>
              <w:spacing w:line="440" w:lineRule="exact"/>
              <w:jc w:val="center"/>
              <w:rPr>
                <w:rFonts w:ascii="宋体" w:cs="宋体"/>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440" w:lineRule="exact"/>
              <w:jc w:val="center"/>
              <w:rPr>
                <w:rFonts w:ascii="宋体" w:cs="宋体"/>
                <w:sz w:val="24"/>
                <w:szCs w:val="28"/>
              </w:rPr>
            </w:pPr>
            <w:r>
              <w:rPr>
                <w:rFonts w:ascii="宋体" w:hAnsi="宋体" w:cs="宋体"/>
                <w:sz w:val="24"/>
                <w:szCs w:val="28"/>
              </w:rPr>
              <w:t>2</w:t>
            </w:r>
          </w:p>
        </w:tc>
        <w:tc>
          <w:tcPr>
            <w:tcW w:w="2258" w:type="dxa"/>
            <w:vAlign w:val="center"/>
          </w:tcPr>
          <w:p>
            <w:pPr>
              <w:spacing w:line="440" w:lineRule="exact"/>
              <w:jc w:val="center"/>
              <w:rPr>
                <w:rFonts w:ascii="宋体" w:cs="宋体"/>
                <w:sz w:val="24"/>
                <w:szCs w:val="28"/>
              </w:rPr>
            </w:pPr>
            <w:r>
              <w:rPr>
                <w:rFonts w:hint="eastAsia" w:ascii="宋体" w:hAnsi="宋体" w:cs="宋体"/>
                <w:sz w:val="24"/>
                <w:szCs w:val="28"/>
              </w:rPr>
              <w:t>建设投资</w:t>
            </w:r>
          </w:p>
        </w:tc>
        <w:tc>
          <w:tcPr>
            <w:tcW w:w="1619" w:type="dxa"/>
            <w:vAlign w:val="center"/>
          </w:tcPr>
          <w:p>
            <w:pPr>
              <w:spacing w:line="440" w:lineRule="exact"/>
              <w:jc w:val="center"/>
              <w:rPr>
                <w:rFonts w:ascii="宋体" w:cs="宋体"/>
                <w:sz w:val="24"/>
                <w:szCs w:val="28"/>
              </w:rPr>
            </w:pPr>
            <w:r>
              <w:rPr>
                <w:rFonts w:hint="eastAsia" w:ascii="宋体" w:hAnsi="宋体" w:cs="宋体"/>
                <w:sz w:val="24"/>
                <w:szCs w:val="28"/>
              </w:rPr>
              <w:t>万元</w:t>
            </w:r>
          </w:p>
        </w:tc>
        <w:tc>
          <w:tcPr>
            <w:tcW w:w="1619" w:type="dxa"/>
            <w:vAlign w:val="center"/>
          </w:tcPr>
          <w:p>
            <w:pPr>
              <w:spacing w:line="440" w:lineRule="exact"/>
              <w:jc w:val="center"/>
              <w:rPr>
                <w:rFonts w:ascii="宋体" w:cs="宋体"/>
                <w:sz w:val="24"/>
                <w:szCs w:val="28"/>
              </w:rPr>
            </w:pPr>
            <w:r>
              <w:rPr>
                <w:rFonts w:ascii="宋体" w:hAnsi="宋体" w:cs="宋体"/>
                <w:sz w:val="24"/>
                <w:szCs w:val="28"/>
              </w:rPr>
              <w:t>4000</w:t>
            </w:r>
          </w:p>
        </w:tc>
        <w:tc>
          <w:tcPr>
            <w:tcW w:w="1878" w:type="dxa"/>
            <w:vAlign w:val="center"/>
          </w:tcPr>
          <w:p>
            <w:pPr>
              <w:spacing w:line="440" w:lineRule="exact"/>
              <w:jc w:val="center"/>
              <w:rPr>
                <w:rFonts w:ascii="宋体" w:cs="宋体"/>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440" w:lineRule="exact"/>
              <w:jc w:val="center"/>
              <w:rPr>
                <w:rFonts w:ascii="宋体" w:cs="宋体"/>
                <w:sz w:val="24"/>
                <w:szCs w:val="28"/>
              </w:rPr>
            </w:pPr>
            <w:r>
              <w:rPr>
                <w:rFonts w:ascii="宋体" w:hAnsi="宋体" w:cs="宋体"/>
                <w:sz w:val="24"/>
                <w:szCs w:val="28"/>
              </w:rPr>
              <w:t>3</w:t>
            </w:r>
          </w:p>
        </w:tc>
        <w:tc>
          <w:tcPr>
            <w:tcW w:w="2258" w:type="dxa"/>
            <w:vAlign w:val="center"/>
          </w:tcPr>
          <w:p>
            <w:pPr>
              <w:spacing w:line="440" w:lineRule="exact"/>
              <w:jc w:val="center"/>
              <w:rPr>
                <w:rFonts w:ascii="宋体" w:cs="宋体"/>
                <w:sz w:val="24"/>
                <w:szCs w:val="28"/>
              </w:rPr>
            </w:pPr>
            <w:r>
              <w:rPr>
                <w:rFonts w:hint="eastAsia" w:ascii="宋体" w:hAnsi="宋体" w:cs="宋体"/>
                <w:sz w:val="24"/>
                <w:szCs w:val="28"/>
              </w:rPr>
              <w:t>年均销售收入</w:t>
            </w:r>
          </w:p>
        </w:tc>
        <w:tc>
          <w:tcPr>
            <w:tcW w:w="1619" w:type="dxa"/>
            <w:vAlign w:val="center"/>
          </w:tcPr>
          <w:p>
            <w:pPr>
              <w:spacing w:line="440" w:lineRule="exact"/>
              <w:jc w:val="center"/>
              <w:rPr>
                <w:rFonts w:ascii="宋体" w:cs="宋体"/>
                <w:sz w:val="24"/>
                <w:szCs w:val="28"/>
              </w:rPr>
            </w:pPr>
            <w:r>
              <w:rPr>
                <w:rFonts w:hint="eastAsia" w:ascii="宋体" w:hAnsi="宋体" w:cs="宋体"/>
                <w:sz w:val="24"/>
                <w:szCs w:val="28"/>
              </w:rPr>
              <w:t>万元</w:t>
            </w:r>
          </w:p>
        </w:tc>
        <w:tc>
          <w:tcPr>
            <w:tcW w:w="1619" w:type="dxa"/>
            <w:vAlign w:val="center"/>
          </w:tcPr>
          <w:p>
            <w:pPr>
              <w:spacing w:line="440" w:lineRule="exact"/>
              <w:jc w:val="center"/>
              <w:rPr>
                <w:rFonts w:ascii="宋体" w:cs="宋体"/>
                <w:sz w:val="24"/>
                <w:szCs w:val="28"/>
              </w:rPr>
            </w:pPr>
            <w:r>
              <w:rPr>
                <w:rFonts w:ascii="宋体" w:hAnsi="宋体" w:cs="宋体"/>
                <w:sz w:val="24"/>
                <w:szCs w:val="28"/>
              </w:rPr>
              <w:t>28000</w:t>
            </w:r>
          </w:p>
        </w:tc>
        <w:tc>
          <w:tcPr>
            <w:tcW w:w="1878" w:type="dxa"/>
            <w:vAlign w:val="center"/>
          </w:tcPr>
          <w:p>
            <w:pPr>
              <w:spacing w:line="440" w:lineRule="exact"/>
              <w:jc w:val="center"/>
              <w:rPr>
                <w:rFonts w:ascii="宋体" w:cs="宋体"/>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440" w:lineRule="exact"/>
              <w:jc w:val="center"/>
              <w:rPr>
                <w:rFonts w:ascii="宋体" w:cs="宋体"/>
                <w:sz w:val="24"/>
                <w:szCs w:val="28"/>
              </w:rPr>
            </w:pPr>
            <w:r>
              <w:rPr>
                <w:rFonts w:ascii="宋体" w:hAnsi="宋体" w:cs="宋体"/>
                <w:sz w:val="24"/>
                <w:szCs w:val="28"/>
              </w:rPr>
              <w:t>4</w:t>
            </w:r>
          </w:p>
        </w:tc>
        <w:tc>
          <w:tcPr>
            <w:tcW w:w="2258" w:type="dxa"/>
            <w:vAlign w:val="center"/>
          </w:tcPr>
          <w:p>
            <w:pPr>
              <w:spacing w:line="440" w:lineRule="exact"/>
              <w:jc w:val="center"/>
              <w:rPr>
                <w:rFonts w:ascii="宋体" w:cs="宋体"/>
                <w:sz w:val="24"/>
                <w:szCs w:val="28"/>
              </w:rPr>
            </w:pPr>
            <w:r>
              <w:rPr>
                <w:rFonts w:hint="eastAsia" w:ascii="宋体" w:hAnsi="宋体" w:cs="宋体"/>
                <w:sz w:val="24"/>
                <w:szCs w:val="28"/>
              </w:rPr>
              <w:t>年均总成本</w:t>
            </w:r>
          </w:p>
        </w:tc>
        <w:tc>
          <w:tcPr>
            <w:tcW w:w="1619" w:type="dxa"/>
            <w:vAlign w:val="center"/>
          </w:tcPr>
          <w:p>
            <w:pPr>
              <w:spacing w:line="440" w:lineRule="exact"/>
              <w:jc w:val="center"/>
              <w:rPr>
                <w:rFonts w:ascii="宋体" w:cs="宋体"/>
                <w:sz w:val="24"/>
                <w:szCs w:val="28"/>
              </w:rPr>
            </w:pPr>
            <w:r>
              <w:rPr>
                <w:rFonts w:hint="eastAsia" w:ascii="宋体" w:hAnsi="宋体" w:cs="宋体"/>
                <w:sz w:val="24"/>
                <w:szCs w:val="28"/>
              </w:rPr>
              <w:t>万元</w:t>
            </w:r>
          </w:p>
        </w:tc>
        <w:tc>
          <w:tcPr>
            <w:tcW w:w="1619" w:type="dxa"/>
            <w:vAlign w:val="center"/>
          </w:tcPr>
          <w:p>
            <w:pPr>
              <w:spacing w:line="440" w:lineRule="exact"/>
              <w:jc w:val="center"/>
              <w:rPr>
                <w:rFonts w:ascii="宋体" w:cs="宋体"/>
                <w:sz w:val="24"/>
                <w:szCs w:val="28"/>
              </w:rPr>
            </w:pPr>
            <w:r>
              <w:rPr>
                <w:rFonts w:ascii="宋体" w:hAnsi="宋体" w:cs="宋体"/>
                <w:sz w:val="24"/>
                <w:szCs w:val="28"/>
              </w:rPr>
              <w:t>17760</w:t>
            </w:r>
          </w:p>
        </w:tc>
        <w:tc>
          <w:tcPr>
            <w:tcW w:w="1878" w:type="dxa"/>
            <w:vAlign w:val="center"/>
          </w:tcPr>
          <w:p>
            <w:pPr>
              <w:spacing w:line="440" w:lineRule="exact"/>
              <w:jc w:val="center"/>
              <w:rPr>
                <w:rFonts w:ascii="宋体" w:cs="宋体"/>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440" w:lineRule="exact"/>
              <w:jc w:val="center"/>
              <w:rPr>
                <w:rFonts w:ascii="宋体" w:cs="宋体"/>
                <w:sz w:val="24"/>
                <w:szCs w:val="28"/>
              </w:rPr>
            </w:pPr>
            <w:r>
              <w:rPr>
                <w:rFonts w:ascii="宋体" w:hAnsi="宋体" w:cs="宋体"/>
                <w:sz w:val="24"/>
                <w:szCs w:val="28"/>
              </w:rPr>
              <w:t>5</w:t>
            </w:r>
          </w:p>
        </w:tc>
        <w:tc>
          <w:tcPr>
            <w:tcW w:w="2258" w:type="dxa"/>
            <w:vAlign w:val="center"/>
          </w:tcPr>
          <w:p>
            <w:pPr>
              <w:spacing w:line="440" w:lineRule="exact"/>
              <w:jc w:val="center"/>
              <w:rPr>
                <w:rFonts w:ascii="宋体" w:cs="宋体"/>
                <w:sz w:val="24"/>
                <w:szCs w:val="28"/>
              </w:rPr>
            </w:pPr>
            <w:r>
              <w:rPr>
                <w:rFonts w:hint="eastAsia" w:ascii="宋体" w:hAnsi="宋体" w:cs="宋体"/>
                <w:sz w:val="24"/>
                <w:szCs w:val="28"/>
              </w:rPr>
              <w:t>年均利润总额</w:t>
            </w:r>
          </w:p>
        </w:tc>
        <w:tc>
          <w:tcPr>
            <w:tcW w:w="1619" w:type="dxa"/>
            <w:vAlign w:val="center"/>
          </w:tcPr>
          <w:p>
            <w:pPr>
              <w:spacing w:line="440" w:lineRule="exact"/>
              <w:jc w:val="center"/>
              <w:rPr>
                <w:rFonts w:ascii="宋体" w:cs="宋体"/>
                <w:sz w:val="24"/>
                <w:szCs w:val="28"/>
              </w:rPr>
            </w:pPr>
            <w:r>
              <w:rPr>
                <w:rFonts w:hint="eastAsia" w:ascii="宋体" w:hAnsi="宋体" w:cs="宋体"/>
                <w:sz w:val="24"/>
                <w:szCs w:val="28"/>
              </w:rPr>
              <w:t>万元</w:t>
            </w:r>
          </w:p>
        </w:tc>
        <w:tc>
          <w:tcPr>
            <w:tcW w:w="1619" w:type="dxa"/>
            <w:vAlign w:val="center"/>
          </w:tcPr>
          <w:p>
            <w:pPr>
              <w:spacing w:line="440" w:lineRule="exact"/>
              <w:jc w:val="center"/>
              <w:rPr>
                <w:rFonts w:ascii="宋体" w:cs="宋体"/>
                <w:sz w:val="24"/>
                <w:szCs w:val="28"/>
              </w:rPr>
            </w:pPr>
            <w:r>
              <w:rPr>
                <w:rFonts w:ascii="宋体" w:hAnsi="宋体" w:cs="宋体"/>
                <w:sz w:val="24"/>
                <w:szCs w:val="28"/>
              </w:rPr>
              <w:t>10240</w:t>
            </w:r>
          </w:p>
        </w:tc>
        <w:tc>
          <w:tcPr>
            <w:tcW w:w="1878" w:type="dxa"/>
            <w:vAlign w:val="center"/>
          </w:tcPr>
          <w:p>
            <w:pPr>
              <w:spacing w:line="440" w:lineRule="exact"/>
              <w:jc w:val="center"/>
              <w:rPr>
                <w:rFonts w:ascii="宋体" w:cs="宋体"/>
                <w:sz w:val="24"/>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78" w:type="dxa"/>
            <w:vAlign w:val="center"/>
          </w:tcPr>
          <w:p>
            <w:pPr>
              <w:spacing w:line="440" w:lineRule="exact"/>
              <w:jc w:val="center"/>
              <w:rPr>
                <w:rFonts w:ascii="宋体" w:cs="宋体"/>
                <w:sz w:val="24"/>
                <w:szCs w:val="28"/>
              </w:rPr>
            </w:pPr>
            <w:r>
              <w:rPr>
                <w:rFonts w:ascii="宋体" w:hAnsi="宋体" w:cs="宋体"/>
                <w:sz w:val="24"/>
                <w:szCs w:val="28"/>
              </w:rPr>
              <w:t>6</w:t>
            </w:r>
          </w:p>
        </w:tc>
        <w:tc>
          <w:tcPr>
            <w:tcW w:w="2258" w:type="dxa"/>
            <w:vAlign w:val="center"/>
          </w:tcPr>
          <w:p>
            <w:pPr>
              <w:spacing w:line="440" w:lineRule="exact"/>
              <w:jc w:val="center"/>
              <w:rPr>
                <w:rFonts w:ascii="宋体" w:cs="宋体"/>
                <w:sz w:val="24"/>
                <w:szCs w:val="28"/>
              </w:rPr>
            </w:pPr>
            <w:r>
              <w:rPr>
                <w:rFonts w:hint="eastAsia" w:ascii="宋体" w:hAnsi="宋体" w:cs="宋体"/>
                <w:sz w:val="24"/>
                <w:szCs w:val="28"/>
              </w:rPr>
              <w:t>年均税后利润</w:t>
            </w:r>
          </w:p>
        </w:tc>
        <w:tc>
          <w:tcPr>
            <w:tcW w:w="1619" w:type="dxa"/>
            <w:vAlign w:val="center"/>
          </w:tcPr>
          <w:p>
            <w:pPr>
              <w:spacing w:line="440" w:lineRule="exact"/>
              <w:jc w:val="center"/>
              <w:rPr>
                <w:rFonts w:ascii="宋体" w:cs="宋体"/>
                <w:sz w:val="24"/>
                <w:szCs w:val="28"/>
              </w:rPr>
            </w:pPr>
            <w:r>
              <w:rPr>
                <w:rFonts w:hint="eastAsia" w:ascii="宋体" w:hAnsi="宋体" w:cs="宋体"/>
                <w:sz w:val="24"/>
                <w:szCs w:val="28"/>
              </w:rPr>
              <w:t>万元</w:t>
            </w:r>
          </w:p>
        </w:tc>
        <w:tc>
          <w:tcPr>
            <w:tcW w:w="1619" w:type="dxa"/>
            <w:vAlign w:val="center"/>
          </w:tcPr>
          <w:p>
            <w:pPr>
              <w:spacing w:line="440" w:lineRule="exact"/>
              <w:jc w:val="center"/>
              <w:rPr>
                <w:rFonts w:ascii="宋体" w:cs="宋体"/>
                <w:sz w:val="24"/>
                <w:szCs w:val="28"/>
              </w:rPr>
            </w:pPr>
            <w:r>
              <w:rPr>
                <w:rFonts w:ascii="宋体" w:hAnsi="宋体" w:cs="宋体"/>
                <w:sz w:val="24"/>
                <w:szCs w:val="28"/>
              </w:rPr>
              <w:t>8000</w:t>
            </w:r>
          </w:p>
        </w:tc>
        <w:tc>
          <w:tcPr>
            <w:tcW w:w="1878" w:type="dxa"/>
            <w:vAlign w:val="center"/>
          </w:tcPr>
          <w:p>
            <w:pPr>
              <w:spacing w:line="440" w:lineRule="exact"/>
              <w:jc w:val="center"/>
              <w:rPr>
                <w:rFonts w:ascii="宋体" w:cs="宋体"/>
                <w:sz w:val="24"/>
                <w:szCs w:val="28"/>
              </w:rPr>
            </w:pPr>
          </w:p>
        </w:tc>
      </w:tr>
    </w:tbl>
    <w:p>
      <w:pPr>
        <w:rPr>
          <w:rFonts w:hint="eastAsia"/>
        </w:rPr>
      </w:pPr>
    </w:p>
    <w:p>
      <w:pPr>
        <w:keepNext w:val="0"/>
        <w:keepLines w:val="0"/>
        <w:pageBreakBefore w:val="0"/>
        <w:widowControl w:val="0"/>
        <w:kinsoku/>
        <w:wordWrap/>
        <w:overflowPunct/>
        <w:topLinePunct w:val="0"/>
        <w:autoSpaceDE/>
        <w:autoSpaceDN/>
        <w:bidi w:val="0"/>
        <w:adjustRightInd/>
        <w:spacing w:line="4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养生保健酒项目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仿宋" w:hAnsi="仿宋" w:eastAsia="仿宋" w:cs="仿宋"/>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lang w:eastAsia="zh-CN"/>
        </w:rPr>
      </w:pPr>
      <w:r>
        <w:rPr>
          <w:rFonts w:hint="eastAsia" w:ascii="仿宋" w:hAnsi="仿宋" w:eastAsia="仿宋" w:cs="仿宋"/>
          <w:b/>
          <w:bCs/>
          <w:sz w:val="32"/>
          <w:szCs w:val="32"/>
          <w:lang w:eastAsia="zh-CN"/>
        </w:rPr>
        <w:t>项目简介：</w:t>
      </w:r>
      <w:r>
        <w:rPr>
          <w:rFonts w:hint="eastAsia" w:ascii="仿宋" w:hAnsi="仿宋" w:eastAsia="仿宋" w:cs="仿宋"/>
          <w:sz w:val="32"/>
          <w:szCs w:val="32"/>
          <w:lang w:eastAsia="zh-CN"/>
        </w:rPr>
        <w:t>随着人们生活水平的不断提高，饮食文化也在悄然发生着变化，其中养生保健酒类越来越受到人们的青睐。本项目依托当地丰富的各类果品资源，开发研制各类低度养生果酒，市场前景十分广阔。</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eastAsia="zh-CN"/>
        </w:rPr>
        <w:t>建设内容：</w:t>
      </w:r>
      <w:r>
        <w:rPr>
          <w:rFonts w:hint="eastAsia" w:ascii="仿宋" w:hAnsi="仿宋" w:eastAsia="仿宋" w:cs="仿宋"/>
          <w:sz w:val="32"/>
          <w:szCs w:val="32"/>
          <w:lang w:eastAsia="zh-CN"/>
        </w:rPr>
        <w:t>建设占地</w:t>
      </w:r>
      <w:r>
        <w:rPr>
          <w:rFonts w:hint="eastAsia" w:ascii="仿宋" w:hAnsi="仿宋" w:eastAsia="仿宋" w:cs="仿宋"/>
          <w:sz w:val="32"/>
          <w:szCs w:val="32"/>
          <w:lang w:val="en-US" w:eastAsia="zh-CN"/>
        </w:rPr>
        <w:t>100亩的养生果品生产线一条，年产各类果酒1万吨，并配套建设实验室、新产品开发中心和物流配送中心。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投资估算:</w:t>
      </w:r>
      <w:r>
        <w:rPr>
          <w:rFonts w:hint="eastAsia" w:ascii="仿宋" w:hAnsi="仿宋" w:eastAsia="仿宋" w:cs="仿宋"/>
          <w:sz w:val="32"/>
          <w:szCs w:val="32"/>
          <w:lang w:val="en-US" w:eastAsia="zh-CN"/>
        </w:rPr>
        <w:t>预计总投资2亿元，其中固定资产投资1亿元，流动资金1亿元，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效益预测：</w:t>
      </w:r>
      <w:r>
        <w:rPr>
          <w:rFonts w:hint="eastAsia" w:ascii="仿宋" w:hAnsi="仿宋" w:eastAsia="仿宋" w:cs="仿宋"/>
          <w:b w:val="0"/>
          <w:bCs w:val="0"/>
          <w:sz w:val="32"/>
          <w:szCs w:val="32"/>
          <w:lang w:val="en-US" w:eastAsia="zh-CN"/>
        </w:rPr>
        <w:t>预计</w:t>
      </w:r>
      <w:r>
        <w:rPr>
          <w:rFonts w:hint="eastAsia" w:ascii="仿宋" w:hAnsi="仿宋" w:eastAsia="仿宋" w:cs="仿宋"/>
          <w:sz w:val="32"/>
          <w:szCs w:val="32"/>
          <w:lang w:val="en-US" w:eastAsia="zh-CN"/>
        </w:rPr>
        <w:t>年创产值2亿元，年创利税0.7亿元。</w:t>
      </w:r>
    </w:p>
    <w:p>
      <w:pPr>
        <w:keepNext w:val="0"/>
        <w:keepLines w:val="0"/>
        <w:pageBreakBefore w:val="0"/>
        <w:widowControl w:val="0"/>
        <w:kinsoku/>
        <w:wordWrap/>
        <w:overflowPunct/>
        <w:topLinePunct w:val="0"/>
        <w:autoSpaceDE/>
        <w:autoSpaceDN/>
        <w:bidi w:val="0"/>
        <w:adjustRightInd/>
        <w:spacing w:line="4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44"/>
          <w:szCs w:val="44"/>
          <w:lang w:val="en-US" w:eastAsia="zh-CN"/>
        </w:rPr>
      </w:pPr>
      <w:r>
        <w:rPr>
          <w:rFonts w:hint="eastAsia" w:ascii="Times New Roman" w:hAnsi="Times New Roman"/>
          <w:b/>
          <w:bCs/>
          <w:kern w:val="44"/>
          <w:sz w:val="44"/>
          <w:szCs w:val="44"/>
        </w:rPr>
        <w:t>果</w:t>
      </w:r>
      <w:r>
        <w:rPr>
          <w:rFonts w:hint="eastAsia" w:ascii="Times New Roman" w:hAnsi="Times New Roman"/>
          <w:b/>
          <w:bCs/>
          <w:kern w:val="44"/>
          <w:sz w:val="44"/>
          <w:szCs w:val="44"/>
          <w:lang w:val="en-US" w:eastAsia="zh-CN"/>
        </w:rPr>
        <w:t>蔬</w:t>
      </w:r>
      <w:r>
        <w:rPr>
          <w:rFonts w:hint="eastAsia" w:ascii="Times New Roman" w:hAnsi="Times New Roman"/>
          <w:b/>
          <w:bCs/>
          <w:kern w:val="44"/>
          <w:sz w:val="44"/>
          <w:szCs w:val="44"/>
        </w:rPr>
        <w:t>脆片加工项目</w:t>
      </w:r>
    </w:p>
    <w:p>
      <w:pPr>
        <w:jc w:val="left"/>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果蔬脆片是水果脆片和蔬菜脆片的统称，根据国家轻工行业标准QB2076-95的权威定义，是以水果、蔬菜为主要原料，经真空油炸脱水等工艺生产的各类水果、蔬菜脆片，产品口感酥脆、风味各异、有益健康，老少皆宜。既保存了新鲜果蔬纯天然的色泽、营养和风味、又具有耐存贮、低脂肪、低热量和高纤维素的特点。</w:t>
      </w:r>
    </w:p>
    <w:p>
      <w:pPr>
        <w:keepNext w:val="0"/>
        <w:keepLines w:val="0"/>
        <w:pageBreakBefore w:val="0"/>
        <w:widowControl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巴彦淖尔市位于河套平原，有耕地1100万亩，巴彦淖尔市日照时数长，昼夜温差大，地势平坦，土地肥沃，为优质瓜菜生产提供了良好的自然条件。巴彦淖尔是中国蜜瓜之乡，所产西、甜瓜含糖量高、香味浓郁，风味独特，五原灯笼红香瓜、黑柳子白梨脆甜瓜、杭锦后旗甜瓜、三道桥西瓜、河套西瓜、河套蜜瓜为国家农产品地理标志保护产品。</w:t>
      </w:r>
      <w:r>
        <w:rPr>
          <w:rFonts w:hint="eastAsia" w:ascii="仿宋_GB2312" w:hAnsi="仿宋_GB2312" w:eastAsia="仿宋_GB2312" w:cs="仿宋_GB2312"/>
          <w:color w:val="FF0000"/>
          <w:sz w:val="32"/>
          <w:szCs w:val="32"/>
          <w:highlight w:val="none"/>
          <w:lang w:val="en-US" w:eastAsia="zh-CN"/>
        </w:rPr>
        <w:t>2022年全市蔬菜种植面积约34.44万亩，产量约35.92亿斤</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：本项目利用丰富的果、蔬产品资源，通过低温真空冷冻干燥、超零界萃取技术加工生产果蔬脆片休闲食品，设计生产果蔬脆片1500吨。</w:t>
      </w:r>
      <w:r>
        <w:rPr>
          <w:rFonts w:hint="eastAsia" w:ascii="仿宋" w:hAnsi="仿宋" w:eastAsia="仿宋" w:cs="仿宋"/>
          <w:sz w:val="32"/>
          <w:szCs w:val="32"/>
          <w:lang w:val="en-US" w:eastAsia="zh-CN"/>
        </w:rPr>
        <w:t>主要原料：</w:t>
      </w:r>
      <w:r>
        <w:rPr>
          <w:rFonts w:hint="eastAsia" w:ascii="仿宋" w:hAnsi="仿宋" w:eastAsia="仿宋" w:cs="仿宋"/>
          <w:sz w:val="32"/>
          <w:szCs w:val="32"/>
        </w:rPr>
        <w:t>巴彦淖尔的各种水果、蔬菜。</w:t>
      </w:r>
    </w:p>
    <w:p>
      <w:pPr>
        <w:keepNext w:val="0"/>
        <w:keepLines w:val="0"/>
        <w:pageBreakBefore w:val="0"/>
        <w:widowControl w:val="0"/>
        <w:kinsoku/>
        <w:wordWrap/>
        <w:overflowPunct/>
        <w:topLinePunct w:val="0"/>
        <w:autoSpaceDE/>
        <w:autoSpaceDN/>
        <w:bidi w:val="0"/>
        <w:adjustRightInd/>
        <w:spacing w:line="48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：总投资</w:t>
      </w:r>
      <w:r>
        <w:rPr>
          <w:rFonts w:hint="eastAsia" w:ascii="仿宋" w:hAnsi="仿宋" w:eastAsia="仿宋" w:cs="仿宋"/>
          <w:sz w:val="32"/>
          <w:szCs w:val="32"/>
          <w:lang w:val="en-US" w:eastAsia="zh-CN"/>
        </w:rPr>
        <w:t>0.2亿元，</w:t>
      </w:r>
      <w:r>
        <w:rPr>
          <w:rFonts w:hint="eastAsia" w:ascii="仿宋" w:hAnsi="仿宋" w:eastAsia="仿宋" w:cs="仿宋"/>
          <w:sz w:val="32"/>
          <w:szCs w:val="32"/>
        </w:rPr>
        <w:t>建设投资</w:t>
      </w:r>
      <w:r>
        <w:rPr>
          <w:rFonts w:hint="eastAsia" w:ascii="仿宋" w:hAnsi="仿宋" w:eastAsia="仿宋" w:cs="仿宋"/>
          <w:sz w:val="32"/>
          <w:szCs w:val="32"/>
          <w:lang w:val="en-US" w:eastAsia="zh-CN"/>
        </w:rPr>
        <w:t>0.15亿元。</w:t>
      </w:r>
    </w:p>
    <w:p>
      <w:pPr>
        <w:keepNext w:val="0"/>
        <w:keepLines w:val="0"/>
        <w:pageBreakBefore w:val="0"/>
        <w:widowControl w:val="0"/>
        <w:kinsoku/>
        <w:wordWrap/>
        <w:overflowPunct/>
        <w:topLinePunct w:val="0"/>
        <w:autoSpaceDE/>
        <w:autoSpaceDN/>
        <w:bidi w:val="0"/>
        <w:adjustRightInd/>
        <w:spacing w:line="48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0.1亿元，</w:t>
      </w:r>
      <w:r>
        <w:rPr>
          <w:rFonts w:hint="eastAsia" w:ascii="仿宋" w:hAnsi="仿宋" w:eastAsia="仿宋" w:cs="仿宋"/>
          <w:sz w:val="32"/>
          <w:szCs w:val="32"/>
        </w:rPr>
        <w:t>年税后利润</w:t>
      </w:r>
      <w:r>
        <w:rPr>
          <w:rFonts w:hint="eastAsia" w:ascii="仿宋" w:hAnsi="仿宋" w:eastAsia="仿宋" w:cs="仿宋"/>
          <w:sz w:val="32"/>
          <w:szCs w:val="32"/>
          <w:lang w:val="en-US" w:eastAsia="zh-CN"/>
        </w:rPr>
        <w:t>0.087亿元。</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r>
        <w:rPr>
          <w:rFonts w:hint="eastAsia" w:ascii="宋体" w:hAnsi="宋体" w:eastAsia="宋体" w:cs="宋体"/>
          <w:b/>
          <w:bCs/>
          <w:sz w:val="44"/>
          <w:szCs w:val="44"/>
        </w:rPr>
        <w:t>泡菜系列产品加工项目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 xml:space="preserve">：泡菜是一种以蔬菜为原料的发酵食品。它的精华在于各类腌渍调料十分丰富，配比合理，共同起到乳酸混合作用，从而生成泡菜特有的风味和口感。它同时满足了美味和健康两种需求，从而具有广泛的市场需求。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建设条件：</w:t>
      </w:r>
      <w:r>
        <w:rPr>
          <w:rFonts w:hint="eastAsia" w:ascii="仿宋_GB2312" w:hAnsi="仿宋_GB2312" w:eastAsia="仿宋_GB2312" w:cs="仿宋_GB2312"/>
          <w:color w:val="FF0000"/>
          <w:sz w:val="32"/>
          <w:szCs w:val="32"/>
          <w:highlight w:val="none"/>
          <w:lang w:val="en-US" w:eastAsia="zh-CN"/>
        </w:rPr>
        <w:t>2022年全市蔬菜种植面积约34.44万亩，产量约35.92亿斤。</w:t>
      </w:r>
      <w:r>
        <w:rPr>
          <w:rFonts w:hint="eastAsia" w:ascii="仿宋" w:hAnsi="仿宋" w:eastAsia="仿宋" w:cs="仿宋"/>
          <w:sz w:val="32"/>
          <w:szCs w:val="32"/>
        </w:rPr>
        <w:t>全市平均每年种植商品大白菜6万亩，高产可达1.5万公斤；全市番茄种植面积为</w:t>
      </w:r>
      <w:r>
        <w:rPr>
          <w:rFonts w:hint="eastAsia" w:ascii="仿宋" w:hAnsi="仿宋" w:eastAsia="仿宋" w:cs="仿宋"/>
          <w:sz w:val="32"/>
          <w:szCs w:val="32"/>
          <w:lang w:val="en-US" w:eastAsia="zh-CN"/>
        </w:rPr>
        <w:t>17.89</w:t>
      </w:r>
      <w:r>
        <w:rPr>
          <w:rFonts w:hint="eastAsia" w:ascii="仿宋" w:hAnsi="仿宋" w:eastAsia="仿宋" w:cs="仿宋"/>
          <w:sz w:val="32"/>
          <w:szCs w:val="32"/>
        </w:rPr>
        <w:t>万亩，</w:t>
      </w:r>
      <w:r>
        <w:rPr>
          <w:rFonts w:hint="eastAsia" w:ascii="仿宋" w:hAnsi="仿宋" w:eastAsia="仿宋" w:cs="仿宋"/>
          <w:sz w:val="32"/>
          <w:szCs w:val="32"/>
          <w:lang w:val="en-US" w:eastAsia="zh-CN"/>
        </w:rPr>
        <w:t>总</w:t>
      </w:r>
      <w:r>
        <w:rPr>
          <w:rFonts w:hint="eastAsia" w:ascii="仿宋_GB2312" w:hAnsi="仿宋_GB2312" w:eastAsia="仿宋_GB2312" w:cs="仿宋_GB2312"/>
          <w:color w:val="auto"/>
          <w:sz w:val="32"/>
          <w:szCs w:val="32"/>
          <w:highlight w:val="none"/>
          <w:lang w:val="en-US" w:eastAsia="zh-CN"/>
        </w:rPr>
        <w:t>产量约34.92亿斤</w:t>
      </w:r>
      <w:r>
        <w:rPr>
          <w:rFonts w:hint="eastAsia" w:ascii="仿宋" w:hAnsi="仿宋" w:eastAsia="仿宋" w:cs="仿宋"/>
          <w:sz w:val="32"/>
          <w:szCs w:val="32"/>
        </w:rPr>
        <w:t>；青红椒等种植面积为</w:t>
      </w:r>
      <w:r>
        <w:rPr>
          <w:rFonts w:hint="eastAsia" w:ascii="仿宋" w:hAnsi="仿宋" w:eastAsia="仿宋" w:cs="仿宋"/>
          <w:sz w:val="32"/>
          <w:szCs w:val="32"/>
          <w:lang w:val="en-US" w:eastAsia="zh-CN"/>
        </w:rPr>
        <w:t>9.71</w:t>
      </w:r>
      <w:r>
        <w:rPr>
          <w:rFonts w:hint="eastAsia" w:ascii="仿宋" w:hAnsi="仿宋" w:eastAsia="仿宋" w:cs="仿宋"/>
          <w:sz w:val="32"/>
          <w:szCs w:val="32"/>
        </w:rPr>
        <w:t>万亩，总产</w:t>
      </w:r>
      <w:r>
        <w:rPr>
          <w:rFonts w:hint="eastAsia" w:ascii="仿宋" w:hAnsi="仿宋" w:eastAsia="仿宋" w:cs="仿宋"/>
          <w:sz w:val="32"/>
          <w:szCs w:val="32"/>
          <w:lang w:val="en-US" w:eastAsia="zh-CN"/>
        </w:rPr>
        <w:t>量约4.51</w:t>
      </w:r>
      <w:r>
        <w:rPr>
          <w:rFonts w:hint="eastAsia" w:ascii="仿宋" w:hAnsi="仿宋" w:eastAsia="仿宋" w:cs="仿宋"/>
          <w:sz w:val="32"/>
          <w:szCs w:val="32"/>
        </w:rPr>
        <w:t xml:space="preserve">亿斤。豆角、芹菜、洋葱、红萝卜、圆菜、番茄和香菜等作物也产量颇丰。 </w:t>
      </w:r>
      <w:r>
        <w:rPr>
          <w:rFonts w:hint="eastAsia" w:ascii="仿宋" w:hAnsi="仿宋" w:eastAsia="仿宋" w:cs="仿宋"/>
          <w:sz w:val="32"/>
          <w:szCs w:val="32"/>
        </w:rPr>
        <w:br w:type="textWrapping"/>
      </w:r>
      <w:r>
        <w:rPr>
          <w:rFonts w:hint="eastAsia" w:ascii="仿宋" w:hAnsi="仿宋" w:eastAsia="仿宋" w:cs="仿宋"/>
          <w:b/>
          <w:bCs/>
          <w:sz w:val="32"/>
          <w:szCs w:val="32"/>
        </w:rPr>
        <w:t>建设内容</w:t>
      </w:r>
      <w:r>
        <w:rPr>
          <w:rFonts w:hint="eastAsia" w:ascii="仿宋" w:hAnsi="仿宋" w:eastAsia="仿宋" w:cs="仿宋"/>
          <w:sz w:val="32"/>
          <w:szCs w:val="32"/>
        </w:rPr>
        <w:t xml:space="preserve">：年产10万吨泡菜。 </w:t>
      </w:r>
      <w:r>
        <w:rPr>
          <w:rFonts w:hint="eastAsia" w:ascii="仿宋" w:hAnsi="仿宋" w:eastAsia="仿宋" w:cs="仿宋"/>
          <w:sz w:val="32"/>
          <w:szCs w:val="32"/>
        </w:rPr>
        <w:br w:type="textWrapping"/>
      </w:r>
      <w:r>
        <w:rPr>
          <w:rFonts w:hint="eastAsia" w:ascii="仿宋" w:hAnsi="仿宋" w:eastAsia="仿宋" w:cs="仿宋"/>
          <w:b/>
          <w:bCs/>
          <w:sz w:val="32"/>
          <w:szCs w:val="32"/>
        </w:rPr>
        <w:t>投资估算</w:t>
      </w:r>
      <w:r>
        <w:rPr>
          <w:rFonts w:hint="eastAsia" w:ascii="仿宋" w:hAnsi="仿宋" w:eastAsia="仿宋" w:cs="仿宋"/>
          <w:sz w:val="32"/>
          <w:szCs w:val="32"/>
        </w:rPr>
        <w:t>：总投资</w:t>
      </w:r>
      <w:r>
        <w:rPr>
          <w:rFonts w:hint="eastAsia" w:ascii="仿宋" w:hAnsi="仿宋" w:eastAsia="仿宋" w:cs="仿宋"/>
          <w:sz w:val="32"/>
          <w:szCs w:val="32"/>
          <w:lang w:val="en-US" w:eastAsia="zh-CN"/>
        </w:rPr>
        <w:t>0.</w:t>
      </w:r>
      <w:r>
        <w:rPr>
          <w:rFonts w:hint="eastAsia" w:ascii="仿宋" w:hAnsi="仿宋" w:eastAsia="仿宋" w:cs="仿宋"/>
          <w:sz w:val="32"/>
          <w:szCs w:val="32"/>
        </w:rPr>
        <w:t>2561</w:t>
      </w:r>
      <w:r>
        <w:rPr>
          <w:rFonts w:hint="eastAsia" w:ascii="仿宋" w:hAnsi="仿宋" w:eastAsia="仿宋" w:cs="仿宋"/>
          <w:sz w:val="32"/>
          <w:szCs w:val="32"/>
          <w:lang w:eastAsia="zh-CN"/>
        </w:rPr>
        <w:t>亿</w:t>
      </w:r>
      <w:r>
        <w:rPr>
          <w:rFonts w:hint="eastAsia" w:ascii="仿宋" w:hAnsi="仿宋" w:eastAsia="仿宋" w:cs="仿宋"/>
          <w:sz w:val="32"/>
          <w:szCs w:val="32"/>
        </w:rPr>
        <w:t xml:space="preserve">元 </w:t>
      </w:r>
      <w:r>
        <w:rPr>
          <w:rFonts w:hint="eastAsia" w:ascii="仿宋" w:hAnsi="仿宋" w:eastAsia="仿宋" w:cs="仿宋"/>
          <w:sz w:val="32"/>
          <w:szCs w:val="32"/>
        </w:rPr>
        <w:br w:type="textWrapping"/>
      </w:r>
      <w:r>
        <w:rPr>
          <w:rFonts w:hint="eastAsia" w:ascii="仿宋" w:hAnsi="仿宋" w:eastAsia="仿宋" w:cs="仿宋"/>
          <w:b/>
          <w:bCs/>
          <w:sz w:val="32"/>
          <w:szCs w:val="32"/>
        </w:rPr>
        <w:t>效益预测</w:t>
      </w:r>
      <w:r>
        <w:rPr>
          <w:rFonts w:hint="eastAsia" w:ascii="仿宋" w:hAnsi="仿宋" w:eastAsia="仿宋" w:cs="仿宋"/>
          <w:sz w:val="32"/>
          <w:szCs w:val="32"/>
        </w:rPr>
        <w:t>：销售收入</w:t>
      </w:r>
      <w:r>
        <w:rPr>
          <w:rFonts w:hint="eastAsia" w:ascii="仿宋" w:hAnsi="仿宋" w:eastAsia="仿宋" w:cs="仿宋"/>
          <w:sz w:val="32"/>
          <w:szCs w:val="32"/>
          <w:lang w:val="en-US" w:eastAsia="zh-CN"/>
        </w:rPr>
        <w:t>0.</w:t>
      </w:r>
      <w:r>
        <w:rPr>
          <w:rFonts w:hint="eastAsia" w:ascii="仿宋" w:hAnsi="仿宋" w:eastAsia="仿宋" w:cs="仿宋"/>
          <w:sz w:val="32"/>
          <w:szCs w:val="32"/>
        </w:rPr>
        <w:t>319</w:t>
      </w:r>
      <w:r>
        <w:rPr>
          <w:rFonts w:hint="eastAsia" w:ascii="仿宋" w:hAnsi="仿宋" w:eastAsia="仿宋" w:cs="仿宋"/>
          <w:sz w:val="32"/>
          <w:szCs w:val="32"/>
          <w:lang w:eastAsia="zh-CN"/>
        </w:rPr>
        <w:t>亿</w:t>
      </w:r>
      <w:r>
        <w:rPr>
          <w:rFonts w:hint="eastAsia" w:ascii="仿宋" w:hAnsi="仿宋" w:eastAsia="仿宋" w:cs="仿宋"/>
          <w:sz w:val="32"/>
          <w:szCs w:val="32"/>
        </w:rPr>
        <w:t>元，利润</w:t>
      </w:r>
      <w:r>
        <w:rPr>
          <w:rFonts w:hint="eastAsia" w:ascii="仿宋" w:hAnsi="仿宋" w:eastAsia="仿宋" w:cs="仿宋"/>
          <w:sz w:val="32"/>
          <w:szCs w:val="32"/>
          <w:lang w:val="en-US" w:eastAsia="zh-CN"/>
        </w:rPr>
        <w:t>0.0</w:t>
      </w:r>
      <w:r>
        <w:rPr>
          <w:rFonts w:hint="eastAsia" w:ascii="仿宋" w:hAnsi="仿宋" w:eastAsia="仿宋" w:cs="仿宋"/>
          <w:sz w:val="32"/>
          <w:szCs w:val="32"/>
        </w:rPr>
        <w:t>157</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w:t>
      </w:r>
    </w:p>
    <w:p>
      <w:pPr>
        <w:rPr>
          <w:rFonts w:hint="eastAsia"/>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r>
        <w:rPr>
          <w:rFonts w:hint="eastAsia"/>
          <w:b/>
          <w:bCs/>
          <w:sz w:val="44"/>
          <w:szCs w:val="44"/>
        </w:rPr>
        <w:t>玉米秸秆生物质板材项目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spacing w:line="520" w:lineRule="exact"/>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：玉米秸秆生物质板材经济效用高且环保。利用玉米秸秆为原料研制而成的可自然降解的新型绿色环保材料——生物质板材，可取代人们日常生活中一部分塑料制品，有助于提高经济效益、减少环境污染。</w:t>
      </w:r>
    </w:p>
    <w:p>
      <w:pPr>
        <w:adjustRightInd w:val="0"/>
        <w:snapToGrid w:val="0"/>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玉米秸秆生物质板材特性优越。与一般聚乙烯发泡板材进行对比，玉米秸秆板材的强度是聚乙烯发泡板的1.8倍。因此，利用玉米秸秆制作生物质板材，其强度、自然降解等特性优越，在食品包装、墙体隔热保温、覆盖等方面有广阔的应用前景。目前，巴彦淖尔市秸秆的主要利用方式还停留在机械化还田、养畜过腹还田等较为传统、粗放的利用方式上，甚至未被收集的秸秆直接在田间地头焚烧</w:t>
      </w:r>
      <w:r>
        <w:rPr>
          <w:rFonts w:hint="eastAsia" w:ascii="仿宋" w:hAnsi="仿宋" w:eastAsia="仿宋" w:cs="仿宋"/>
          <w:sz w:val="32"/>
          <w:szCs w:val="32"/>
          <w:lang w:eastAsia="zh-CN"/>
        </w:rPr>
        <w:t>，</w:t>
      </w:r>
      <w:r>
        <w:rPr>
          <w:rFonts w:hint="eastAsia" w:ascii="仿宋" w:hAnsi="仿宋" w:eastAsia="仿宋" w:cs="仿宋"/>
          <w:sz w:val="32"/>
          <w:szCs w:val="32"/>
        </w:rPr>
        <w:t>不仅造成资源大量浪费，而且还造成环境污染。</w:t>
      </w:r>
    </w:p>
    <w:p>
      <w:pPr>
        <w:adjustRightInd w:val="0"/>
        <w:snapToGrid w:val="0"/>
        <w:spacing w:line="520" w:lineRule="exact"/>
        <w:rPr>
          <w:rFonts w:hint="eastAsia" w:ascii="仿宋" w:hAnsi="仿宋" w:eastAsia="仿宋" w:cs="仿宋"/>
          <w:b/>
          <w:bCs/>
          <w:sz w:val="32"/>
          <w:szCs w:val="32"/>
          <w:lang w:eastAsia="zh-CN"/>
        </w:rPr>
      </w:pPr>
      <w:r>
        <w:rPr>
          <w:rFonts w:hint="eastAsia" w:ascii="仿宋" w:hAnsi="仿宋" w:eastAsia="仿宋" w:cs="仿宋"/>
          <w:b/>
          <w:bCs/>
          <w:sz w:val="32"/>
          <w:szCs w:val="32"/>
        </w:rPr>
        <w:t>建设内容</w:t>
      </w:r>
      <w:r>
        <w:rPr>
          <w:rFonts w:hint="eastAsia" w:ascii="仿宋" w:hAnsi="仿宋" w:eastAsia="仿宋" w:cs="仿宋"/>
          <w:sz w:val="32"/>
          <w:szCs w:val="32"/>
        </w:rPr>
        <w:t>：年产12万亿立方米玉米秸秆生物质板材</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主要原料为</w:t>
      </w:r>
      <w:r>
        <w:rPr>
          <w:rFonts w:hint="eastAsia" w:ascii="仿宋" w:hAnsi="仿宋" w:eastAsia="仿宋" w:cs="仿宋"/>
          <w:sz w:val="32"/>
          <w:szCs w:val="32"/>
        </w:rPr>
        <w:t>玉米秸秆</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：总投资</w:t>
      </w:r>
      <w:r>
        <w:rPr>
          <w:rFonts w:hint="eastAsia" w:ascii="仿宋" w:hAnsi="仿宋" w:eastAsia="仿宋" w:cs="仿宋"/>
          <w:sz w:val="32"/>
          <w:szCs w:val="32"/>
          <w:lang w:val="en-US" w:eastAsia="zh-CN"/>
        </w:rPr>
        <w:t>2.94亿元，</w:t>
      </w:r>
      <w:r>
        <w:rPr>
          <w:rFonts w:hint="eastAsia" w:ascii="仿宋" w:hAnsi="仿宋" w:eastAsia="仿宋" w:cs="仿宋"/>
          <w:sz w:val="32"/>
          <w:szCs w:val="32"/>
        </w:rPr>
        <w:t>建设投资</w:t>
      </w:r>
      <w:r>
        <w:rPr>
          <w:rFonts w:hint="eastAsia" w:ascii="仿宋" w:hAnsi="仿宋" w:eastAsia="仿宋" w:cs="仿宋"/>
          <w:sz w:val="32"/>
          <w:szCs w:val="32"/>
          <w:lang w:val="en-US" w:eastAsia="zh-CN"/>
        </w:rPr>
        <w:t>1.4亿元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0.7亿元，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0.68亿元。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宋体" w:hAnsi="宋体" w:eastAsia="宋体" w:cs="宋体"/>
          <w:b/>
          <w:bCs/>
          <w:sz w:val="44"/>
          <w:szCs w:val="44"/>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玉米秸秆生产聚乳酸项目</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项目背景：</w:t>
      </w:r>
      <w:r>
        <w:rPr>
          <w:rFonts w:hint="eastAsia" w:ascii="仿宋" w:hAnsi="仿宋" w:eastAsia="仿宋" w:cs="仿宋"/>
          <w:color w:val="000000"/>
          <w:kern w:val="0"/>
          <w:sz w:val="32"/>
          <w:szCs w:val="32"/>
          <w:lang w:val="en-US" w:eastAsia="zh-CN" w:bidi="ar"/>
        </w:rPr>
        <w:t xml:space="preserve">聚乳酸（PLA），又称为聚丙交酯，主要以玉米、木薯等为原料。淀粉原料经由糖化得到葡萄糖，再由葡萄糖及一定的菌种发酵制成高纯度的乳酸，再通过化学合成方法合成一定分子量的聚乳酸，原料来源充分且可以再生，同时，聚乳酸的生产过程无污染，而且产品可以生物降解，实现在自然界中的循环，因此成为近年来开发研究最活跃、发展最快的生物可降解材料。聚乳酸作为代替石油基塑料制品，可消除白色污染的前景，已被我国及世界主要发达国家列为战略性产品。聚乳酸是一种优良的生物相容性和生物可降解性的合成高分子材料。同时，聚乳酸无毒、无刺激性，兼具高强度、良好的机械性能、高抗冲击度、高柔性和热稳定性，使用后能被自然界中微生物完全降解，最终生成二氧化碳和水，不污染环境。聚乳酸可替代聚乙烯、聚酯和特种工程塑料，应用领域有生活用塑料、农林环保塑料、纺织用纤维、复合材料、组织工程材料和三维打印材料等。聚乳酸开发被列入“863”、“973”、“火炬计划”、“十三五”“中国制造 2015”和《国家中长期科学科技发展规划》重点科研攻关项目，因此，聚乳酸行业在未来将有巨大的发展空间。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建设条件：</w:t>
      </w:r>
      <w:r>
        <w:rPr>
          <w:rFonts w:hint="eastAsia" w:ascii="仿宋" w:hAnsi="仿宋" w:eastAsia="仿宋" w:cs="仿宋"/>
          <w:color w:val="000000"/>
          <w:kern w:val="0"/>
          <w:sz w:val="32"/>
          <w:szCs w:val="32"/>
          <w:lang w:val="en-US" w:eastAsia="zh-CN" w:bidi="ar"/>
        </w:rPr>
        <w:t>原料丰富。巴彦淖尔市位于河套平原腹地，现有耕地 1000 多万亩，日照时数达 3100-3300 小时，灌溉方便，土壤肥沃，适合玉米生长。</w:t>
      </w:r>
      <w:r>
        <w:rPr>
          <w:rFonts w:hint="eastAsia" w:ascii="仿宋" w:hAnsi="仿宋" w:eastAsia="仿宋" w:cs="仿宋"/>
          <w:color w:val="FF0000"/>
          <w:kern w:val="0"/>
          <w:sz w:val="32"/>
          <w:szCs w:val="32"/>
          <w:lang w:val="en-US" w:eastAsia="zh-CN" w:bidi="ar"/>
        </w:rPr>
        <w:t>2022年全市玉米种植面积 600多万亩，产量 51亿斤，</w:t>
      </w:r>
      <w:r>
        <w:rPr>
          <w:rFonts w:hint="eastAsia" w:ascii="仿宋" w:hAnsi="仿宋" w:eastAsia="仿宋" w:cs="仿宋"/>
          <w:color w:val="000000"/>
          <w:kern w:val="0"/>
          <w:sz w:val="32"/>
          <w:szCs w:val="32"/>
          <w:lang w:val="en-US" w:eastAsia="zh-CN" w:bidi="ar"/>
        </w:rPr>
        <w:t xml:space="preserve">葡萄糖高达 90%左右，淀粉含量 68%，胚芽 6%，原料供应充足，品质优良，玉米蛋白质含量高于周边。巴山淀粉厂年产淀粉 50 万吨，可提高产能，并可通过管道输送。空气湿度较低，不利于杂菌的生长，质量好，适合生物制品发酵。平均相对湿度41％，5月份最少为 34％，8 月份最大为 59％，年平均湿度系数0.04％。生产要素齐备。大工业用电0.26-0.4548 元/千瓦时，无缺电、限电情况。开发区自来水价格优惠2元/吨、水资源税2.5 元/吨，污水处理费0.95 元/吨。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sz w:val="32"/>
          <w:szCs w:val="32"/>
        </w:rPr>
      </w:pPr>
      <w:r>
        <w:rPr>
          <w:rFonts w:hint="eastAsia" w:ascii="仿宋" w:hAnsi="仿宋" w:eastAsia="仿宋" w:cs="仿宋"/>
          <w:b/>
          <w:bCs/>
          <w:color w:val="000000"/>
          <w:kern w:val="0"/>
          <w:sz w:val="32"/>
          <w:szCs w:val="32"/>
          <w:lang w:val="en-US" w:eastAsia="zh-CN" w:bidi="ar"/>
        </w:rPr>
        <w:t xml:space="preserve">建设内容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年产5万吨聚乳酸项目，产品为聚乳酸酯、制品和乳酸乙酯。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sz w:val="32"/>
          <w:szCs w:val="32"/>
        </w:rPr>
      </w:pPr>
      <w:r>
        <w:rPr>
          <w:rFonts w:hint="eastAsia" w:ascii="仿宋" w:hAnsi="仿宋" w:eastAsia="仿宋" w:cs="仿宋"/>
          <w:b/>
          <w:bCs/>
          <w:color w:val="000000"/>
          <w:kern w:val="0"/>
          <w:sz w:val="32"/>
          <w:szCs w:val="32"/>
          <w:lang w:val="en-US" w:eastAsia="zh-CN" w:bidi="ar"/>
        </w:rPr>
        <w:t xml:space="preserve">投资估算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总投资 9.5亿元。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sz w:val="32"/>
          <w:szCs w:val="32"/>
        </w:rPr>
      </w:pPr>
      <w:r>
        <w:rPr>
          <w:rFonts w:hint="eastAsia" w:ascii="仿宋" w:hAnsi="仿宋" w:eastAsia="仿宋" w:cs="仿宋"/>
          <w:b/>
          <w:bCs/>
          <w:color w:val="000000"/>
          <w:kern w:val="0"/>
          <w:sz w:val="32"/>
          <w:szCs w:val="32"/>
          <w:lang w:val="en-US" w:eastAsia="zh-CN" w:bidi="ar"/>
        </w:rPr>
        <w:t xml:space="preserve">效益分析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年均销售收入16.5亿元，解决就业人员350人</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宋体" w:hAnsi="宋体" w:eastAsia="宋体" w:cs="宋体"/>
          <w:b/>
          <w:bCs/>
          <w:sz w:val="44"/>
          <w:szCs w:val="44"/>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outlineLvl w:val="9"/>
        <w:rPr>
          <w:rFonts w:hint="eastAsia" w:ascii="宋体" w:hAnsi="宋体" w:eastAsia="宋体" w:cs="宋体"/>
          <w:b/>
          <w:bCs/>
          <w:sz w:val="44"/>
          <w:szCs w:val="44"/>
        </w:rPr>
      </w:pPr>
      <w:r>
        <w:rPr>
          <w:rFonts w:hint="eastAsia" w:ascii="宋体" w:hAnsi="宋体" w:eastAsia="宋体" w:cs="宋体"/>
          <w:b/>
          <w:bCs/>
          <w:sz w:val="44"/>
          <w:szCs w:val="44"/>
        </w:rPr>
        <w:t>年产10000吨玉米变性淀粉项目</w:t>
      </w:r>
    </w:p>
    <w:p>
      <w:pPr>
        <w:jc w:val="left"/>
        <w:rPr>
          <w:rFonts w:hint="eastAsia" w:ascii="仿宋" w:hAnsi="仿宋" w:eastAsia="仿宋" w:cs="仿宋"/>
          <w:b/>
          <w:bCs/>
          <w:sz w:val="32"/>
          <w:szCs w:val="32"/>
          <w:lang w:val="en-US" w:eastAsia="zh-CN"/>
        </w:rPr>
      </w:pPr>
    </w:p>
    <w:p>
      <w:pPr>
        <w:keepNext w:val="0"/>
        <w:keepLines w:val="0"/>
        <w:pageBreakBefore w:val="0"/>
        <w:kinsoku/>
        <w:overflowPunct/>
        <w:topLinePunct w:val="0"/>
        <w:autoSpaceDE/>
        <w:autoSpaceDN/>
        <w:bidi w:val="0"/>
        <w:adjustRightInd w:val="0"/>
        <w:snapToGrid w:val="0"/>
        <w:spacing w:beforeAutospacing="0" w:afterAutospacing="0" w:line="520" w:lineRule="exact"/>
        <w:ind w:left="0" w:leftChars="0" w:right="0" w:rightChars="0"/>
        <w:textAlignment w:val="auto"/>
        <w:outlineLvl w:val="9"/>
        <w:rPr>
          <w:rFonts w:hint="eastAsia" w:ascii="仿宋" w:hAnsi="仿宋" w:eastAsia="仿宋" w:cs="仿宋"/>
          <w:kern w:val="0"/>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eastAsia" w:ascii="仿宋" w:hAnsi="仿宋" w:eastAsia="仿宋" w:cs="仿宋"/>
          <w:kern w:val="0"/>
          <w:sz w:val="32"/>
          <w:szCs w:val="32"/>
        </w:rPr>
        <w:t>随着科学技术的快速发展，淀粉及其淀粉制品的应用越来越广泛了，它渗透于各个工业领域及人们的日常生活当中。变性淀粉是在原淀粉的基础上进行高技术处理而得到新淀粉，主要用于医疗保健、食品加工业等方面。国内外市场需求量大，市场前景非常广阔。</w:t>
      </w:r>
    </w:p>
    <w:p>
      <w:pPr>
        <w:pStyle w:val="19"/>
        <w:keepNext w:val="0"/>
        <w:keepLines w:val="0"/>
        <w:pageBreakBefore w:val="0"/>
        <w:widowControl w:val="0"/>
        <w:pBdr>
          <w:bottom w:val="single" w:color="FFFFFF" w:sz="4" w:space="31"/>
        </w:pBdr>
        <w:tabs>
          <w:tab w:val="left" w:pos="2700"/>
          <w:tab w:val="left" w:pos="2996"/>
          <w:tab w:val="left" w:pos="7545"/>
        </w:tabs>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仿宋" w:cs="仿宋"/>
          <w:color w:val="FF0000"/>
          <w:kern w:val="0"/>
          <w:sz w:val="32"/>
          <w:szCs w:val="32"/>
        </w:rPr>
      </w:pPr>
      <w:r>
        <w:rPr>
          <w:rFonts w:hint="eastAsia" w:ascii="仿宋" w:hAnsi="仿宋" w:eastAsia="仿宋" w:cs="仿宋"/>
          <w:kern w:val="0"/>
          <w:sz w:val="32"/>
          <w:szCs w:val="32"/>
        </w:rPr>
        <w:t>巴彦淖尔地区玉米资源丰富，为项目建设提供充足的原料。</w:t>
      </w:r>
      <w:r>
        <w:rPr>
          <w:rFonts w:hint="eastAsia" w:ascii="仿宋" w:hAnsi="仿宋" w:eastAsia="仿宋" w:cs="仿宋"/>
          <w:sz w:val="32"/>
          <w:szCs w:val="32"/>
        </w:rPr>
        <w:t>临河区电力充足、水资源丰富,具有良好的交通区位优势、基础设施日臻完善，是建设项目的理想之地。</w:t>
      </w:r>
      <w:r>
        <w:rPr>
          <w:rFonts w:hint="eastAsia" w:ascii="仿宋_GB2312" w:hAnsi="仿宋_GB2312" w:eastAsia="仿宋_GB2312" w:cs="仿宋_GB2312"/>
          <w:color w:val="FF0000"/>
          <w:sz w:val="32"/>
          <w:szCs w:val="32"/>
          <w:highlight w:val="none"/>
          <w:lang w:val="en-US" w:eastAsia="zh-CN"/>
        </w:rPr>
        <w:t>2022年</w:t>
      </w:r>
      <w:r>
        <w:rPr>
          <w:rFonts w:hint="default" w:ascii="仿宋_GB2312" w:hAnsi="仿宋_GB2312" w:eastAsia="仿宋_GB2312" w:cs="仿宋_GB2312"/>
          <w:color w:val="FF0000"/>
          <w:sz w:val="32"/>
          <w:szCs w:val="32"/>
          <w:highlight w:val="none"/>
          <w:lang w:eastAsia="zh-CN"/>
        </w:rPr>
        <w:t>全市玉米种植面积</w:t>
      </w:r>
      <w:r>
        <w:rPr>
          <w:rFonts w:hint="eastAsia" w:ascii="仿宋_GB2312" w:hAnsi="仿宋_GB2312" w:eastAsia="仿宋_GB2312" w:cs="仿宋_GB2312"/>
          <w:color w:val="FF0000"/>
          <w:sz w:val="32"/>
          <w:szCs w:val="32"/>
          <w:highlight w:val="none"/>
          <w:lang w:val="en-US" w:eastAsia="zh-CN"/>
        </w:rPr>
        <w:t>600多</w:t>
      </w:r>
      <w:r>
        <w:rPr>
          <w:rFonts w:hint="default" w:ascii="仿宋_GB2312" w:hAnsi="仿宋_GB2312" w:eastAsia="仿宋_GB2312" w:cs="仿宋_GB2312"/>
          <w:color w:val="FF0000"/>
          <w:sz w:val="32"/>
          <w:szCs w:val="32"/>
          <w:highlight w:val="none"/>
          <w:lang w:eastAsia="zh-CN"/>
        </w:rPr>
        <w:t>万亩</w:t>
      </w:r>
      <w:r>
        <w:rPr>
          <w:rFonts w:hint="eastAsia" w:ascii="仿宋_GB2312" w:hAnsi="仿宋_GB2312" w:eastAsia="仿宋_GB2312" w:cs="仿宋_GB2312"/>
          <w:color w:val="FF0000"/>
          <w:sz w:val="32"/>
          <w:szCs w:val="32"/>
          <w:highlight w:val="none"/>
          <w:lang w:eastAsia="zh-CN"/>
        </w:rPr>
        <w:t>，</w:t>
      </w:r>
      <w:r>
        <w:rPr>
          <w:rFonts w:hint="default" w:ascii="仿宋_GB2312" w:hAnsi="仿宋_GB2312" w:eastAsia="仿宋_GB2312" w:cs="仿宋_GB2312"/>
          <w:color w:val="FF0000"/>
          <w:sz w:val="32"/>
          <w:szCs w:val="32"/>
          <w:highlight w:val="none"/>
          <w:lang w:eastAsia="zh-CN"/>
        </w:rPr>
        <w:t>亩均单产</w:t>
      </w:r>
      <w:r>
        <w:rPr>
          <w:rFonts w:hint="eastAsia" w:ascii="仿宋_GB2312" w:hAnsi="仿宋_GB2312" w:eastAsia="仿宋_GB2312" w:cs="仿宋_GB2312"/>
          <w:color w:val="FF0000"/>
          <w:sz w:val="32"/>
          <w:szCs w:val="32"/>
          <w:highlight w:val="none"/>
          <w:lang w:val="en-US" w:eastAsia="zh-CN"/>
        </w:rPr>
        <w:t>1070</w:t>
      </w:r>
      <w:r>
        <w:rPr>
          <w:rFonts w:hint="default" w:ascii="仿宋_GB2312" w:hAnsi="仿宋_GB2312" w:eastAsia="仿宋_GB2312" w:cs="仿宋_GB2312"/>
          <w:color w:val="FF0000"/>
          <w:sz w:val="32"/>
          <w:szCs w:val="32"/>
          <w:highlight w:val="none"/>
          <w:lang w:eastAsia="zh-CN"/>
        </w:rPr>
        <w:t>斤</w:t>
      </w:r>
      <w:r>
        <w:rPr>
          <w:rFonts w:hint="eastAsia" w:ascii="仿宋_GB2312" w:hAnsi="仿宋_GB2312" w:eastAsia="仿宋_GB2312" w:cs="仿宋_GB2312"/>
          <w:color w:val="FF0000"/>
          <w:sz w:val="32"/>
          <w:szCs w:val="32"/>
          <w:highlight w:val="none"/>
          <w:lang w:eastAsia="zh-CN"/>
        </w:rPr>
        <w:t>，总</w:t>
      </w:r>
      <w:r>
        <w:rPr>
          <w:rFonts w:hint="default" w:ascii="仿宋_GB2312" w:hAnsi="仿宋_GB2312" w:eastAsia="仿宋_GB2312" w:cs="仿宋_GB2312"/>
          <w:color w:val="FF0000"/>
          <w:sz w:val="32"/>
          <w:szCs w:val="32"/>
          <w:highlight w:val="none"/>
          <w:lang w:eastAsia="zh-CN"/>
        </w:rPr>
        <w:t>产量</w:t>
      </w:r>
      <w:r>
        <w:rPr>
          <w:rFonts w:hint="eastAsia" w:ascii="仿宋_GB2312" w:hAnsi="仿宋_GB2312" w:eastAsia="仿宋_GB2312" w:cs="仿宋_GB2312"/>
          <w:color w:val="FF0000"/>
          <w:sz w:val="32"/>
          <w:szCs w:val="32"/>
          <w:highlight w:val="none"/>
          <w:lang w:val="en-US" w:eastAsia="zh-CN"/>
        </w:rPr>
        <w:t>51亿斤</w:t>
      </w:r>
      <w:r>
        <w:rPr>
          <w:rFonts w:hint="eastAsia" w:ascii="仿宋_GB2312" w:hAnsi="仿宋_GB2312" w:eastAsia="仿宋_GB2312" w:cs="仿宋_GB2312"/>
          <w:color w:val="FF0000"/>
          <w:sz w:val="32"/>
          <w:szCs w:val="32"/>
          <w:highlight w:val="none"/>
          <w:lang w:eastAsia="zh-CN"/>
        </w:rPr>
        <w:t>。</w:t>
      </w:r>
    </w:p>
    <w:p>
      <w:pPr>
        <w:keepNext w:val="0"/>
        <w:keepLines w:val="0"/>
        <w:pageBreakBefore w:val="0"/>
        <w:kinsoku/>
        <w:overflowPunct/>
        <w:topLinePunct w:val="0"/>
        <w:autoSpaceDE/>
        <w:autoSpaceDN/>
        <w:bidi w:val="0"/>
        <w:adjustRightInd w:val="0"/>
        <w:snapToGrid w:val="0"/>
        <w:spacing w:beforeAutospacing="0" w:afterAutospacing="0" w:line="240" w:lineRule="auto"/>
        <w:ind w:left="0" w:leftChars="0" w:right="0" w:rightChars="0"/>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：年产10000吨玉米变性淀粉</w:t>
      </w:r>
    </w:p>
    <w:p>
      <w:pPr>
        <w:keepNext w:val="0"/>
        <w:keepLines w:val="0"/>
        <w:pageBreakBefore w:val="0"/>
        <w:kinsoku/>
        <w:wordWrap w:val="0"/>
        <w:overflowPunct/>
        <w:topLinePunct w:val="0"/>
        <w:autoSpaceDE/>
        <w:autoSpaceDN/>
        <w:bidi w:val="0"/>
        <w:spacing w:beforeAutospacing="0" w:afterAutospacing="0" w:line="520" w:lineRule="exact"/>
        <w:ind w:left="0" w:leftChars="0" w:right="0" w:rightChars="0"/>
        <w:textAlignment w:val="auto"/>
        <w:outlineLvl w:val="9"/>
        <w:rPr>
          <w:rFonts w:hint="eastAsia" w:ascii="仿宋" w:hAnsi="仿宋" w:eastAsia="仿宋" w:cs="仿宋"/>
          <w:kern w:val="0"/>
          <w:sz w:val="32"/>
          <w:szCs w:val="32"/>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
          <w:kern w:val="0"/>
          <w:sz w:val="32"/>
          <w:szCs w:val="32"/>
        </w:rPr>
        <w:t>总投资</w:t>
      </w:r>
      <w:r>
        <w:rPr>
          <w:rFonts w:hint="eastAsia" w:ascii="仿宋" w:hAnsi="仿宋" w:eastAsia="仿宋" w:cs="仿宋"/>
          <w:kern w:val="0"/>
          <w:sz w:val="32"/>
          <w:szCs w:val="32"/>
          <w:lang w:val="en-US" w:eastAsia="zh-CN"/>
        </w:rPr>
        <w:t>0.</w:t>
      </w:r>
      <w:r>
        <w:rPr>
          <w:rFonts w:hint="eastAsia" w:ascii="仿宋" w:hAnsi="仿宋" w:eastAsia="仿宋" w:cs="仿宋"/>
          <w:sz w:val="32"/>
          <w:szCs w:val="32"/>
        </w:rPr>
        <w:t>8</w:t>
      </w:r>
      <w:r>
        <w:rPr>
          <w:rFonts w:hint="eastAsia" w:ascii="仿宋" w:hAnsi="仿宋" w:eastAsia="仿宋" w:cs="仿宋"/>
          <w:sz w:val="32"/>
          <w:szCs w:val="32"/>
          <w:lang w:eastAsia="zh-CN"/>
        </w:rPr>
        <w:t>亿</w:t>
      </w:r>
      <w:r>
        <w:rPr>
          <w:rFonts w:hint="eastAsia" w:ascii="仿宋" w:hAnsi="仿宋" w:eastAsia="仿宋" w:cs="仿宋"/>
          <w:kern w:val="0"/>
          <w:sz w:val="32"/>
          <w:szCs w:val="32"/>
        </w:rPr>
        <w:t>元</w:t>
      </w:r>
    </w:p>
    <w:p>
      <w:pPr>
        <w:keepNext w:val="0"/>
        <w:keepLines w:val="0"/>
        <w:pageBreakBefore w:val="0"/>
        <w:widowControl/>
        <w:kinsoku/>
        <w:overflowPunct/>
        <w:topLinePunct w:val="0"/>
        <w:autoSpaceDE/>
        <w:autoSpaceDN/>
        <w:bidi w:val="0"/>
        <w:spacing w:beforeAutospacing="0" w:afterAutospacing="0" w:line="520" w:lineRule="exact"/>
        <w:ind w:left="0" w:leftChars="0" w:right="0" w:rightChars="0"/>
        <w:jc w:val="left"/>
        <w:textAlignment w:val="auto"/>
        <w:outlineLvl w:val="9"/>
        <w:rPr>
          <w:rFonts w:hint="eastAsia" w:ascii="仿宋" w:hAnsi="仿宋" w:eastAsia="仿宋" w:cs="仿宋"/>
          <w:b/>
          <w:bCs/>
          <w:kern w:val="0"/>
          <w:sz w:val="32"/>
          <w:szCs w:val="32"/>
          <w:lang w:val="en-US" w:eastAsia="zh-CN"/>
        </w:rPr>
      </w:pPr>
      <w:r>
        <w:rPr>
          <w:rFonts w:hint="eastAsia" w:ascii="仿宋" w:hAnsi="仿宋" w:eastAsia="仿宋" w:cs="仿宋"/>
          <w:b/>
          <w:bCs/>
          <w:kern w:val="0"/>
          <w:sz w:val="32"/>
          <w:szCs w:val="32"/>
          <w:lang w:val="en-US" w:eastAsia="zh-CN"/>
        </w:rPr>
        <w:t>投资效益：</w:t>
      </w:r>
      <w:r>
        <w:rPr>
          <w:rFonts w:hint="eastAsia" w:ascii="仿宋" w:hAnsi="仿宋" w:eastAsia="仿宋" w:cs="仿宋"/>
          <w:kern w:val="0"/>
          <w:sz w:val="32"/>
          <w:szCs w:val="32"/>
        </w:rPr>
        <w:t>年销售收入</w:t>
      </w:r>
      <w:r>
        <w:rPr>
          <w:rFonts w:hint="eastAsia" w:ascii="仿宋" w:hAnsi="仿宋" w:eastAsia="仿宋" w:cs="仿宋"/>
          <w:kern w:val="0"/>
          <w:sz w:val="32"/>
          <w:szCs w:val="32"/>
          <w:lang w:val="en-US" w:eastAsia="zh-CN"/>
        </w:rPr>
        <w:t>0.</w:t>
      </w:r>
      <w:r>
        <w:rPr>
          <w:rFonts w:hint="eastAsia" w:ascii="仿宋" w:hAnsi="仿宋" w:eastAsia="仿宋" w:cs="仿宋"/>
          <w:sz w:val="32"/>
          <w:szCs w:val="32"/>
        </w:rPr>
        <w:t>4</w:t>
      </w:r>
      <w:r>
        <w:rPr>
          <w:rFonts w:hint="eastAsia" w:ascii="仿宋" w:hAnsi="仿宋" w:eastAsia="仿宋" w:cs="仿宋"/>
          <w:sz w:val="32"/>
          <w:szCs w:val="32"/>
          <w:lang w:eastAsia="zh-CN"/>
        </w:rPr>
        <w:t>亿</w:t>
      </w:r>
      <w:r>
        <w:rPr>
          <w:rFonts w:hint="eastAsia" w:ascii="仿宋" w:hAnsi="仿宋" w:eastAsia="仿宋" w:cs="仿宋"/>
          <w:kern w:val="0"/>
          <w:sz w:val="32"/>
          <w:szCs w:val="32"/>
        </w:rPr>
        <w:t>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left"/>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r>
        <w:rPr>
          <w:rFonts w:hint="eastAsia" w:ascii="宋体" w:hAnsi="宋体" w:eastAsia="宋体" w:cs="宋体"/>
          <w:b/>
          <w:bCs/>
          <w:sz w:val="44"/>
          <w:szCs w:val="44"/>
        </w:rPr>
        <w:t>辣椒碱深加工</w:t>
      </w:r>
      <w:r>
        <w:rPr>
          <w:rFonts w:hint="eastAsia" w:ascii="宋体" w:hAnsi="宋体" w:eastAsia="宋体" w:cs="宋体"/>
          <w:b/>
          <w:bCs/>
          <w:sz w:val="44"/>
          <w:szCs w:val="44"/>
          <w:lang w:val="en-US" w:eastAsia="zh-CN"/>
        </w:rPr>
        <w:t>及贸易</w:t>
      </w:r>
      <w:r>
        <w:rPr>
          <w:rFonts w:hint="eastAsia" w:ascii="宋体" w:hAnsi="宋体" w:eastAsia="宋体" w:cs="宋体"/>
          <w:b/>
          <w:bCs/>
          <w:sz w:val="44"/>
          <w:szCs w:val="44"/>
        </w:rPr>
        <w:t>项目</w:t>
      </w:r>
    </w:p>
    <w:p>
      <w:pPr>
        <w:jc w:val="left"/>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4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 xml:space="preserve">：辣椒碱是从辣椒中提取出来的一种高附加值新产品，被广泛应用于医药、农业、轻化、食品、军事等工业。国际市场上，辣椒碱的供给存在一定的缺口，尤其是应用在医药方面的高纯度辣椒碱产品，这部分产品加工技术难度大，但是相应产品销售价格也高昂，随着未来辣椒碱在医药、农业等各领域的深入推广使用，市场前景比较乐观。 </w:t>
      </w:r>
    </w:p>
    <w:p>
      <w:pPr>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巴彦淖尔市的气候土壤非常适宜辣椒种植，是全国红辣椒主产区,年种植面积在</w:t>
      </w:r>
      <w:r>
        <w:rPr>
          <w:rFonts w:hint="eastAsia" w:ascii="仿宋" w:hAnsi="仿宋" w:eastAsia="仿宋" w:cs="仿宋"/>
          <w:sz w:val="32"/>
          <w:szCs w:val="32"/>
          <w:lang w:val="en-US" w:eastAsia="zh-CN"/>
        </w:rPr>
        <w:t>10</w:t>
      </w:r>
      <w:r>
        <w:rPr>
          <w:rFonts w:hint="eastAsia" w:ascii="仿宋" w:hAnsi="仿宋" w:eastAsia="仿宋" w:cs="仿宋"/>
          <w:sz w:val="32"/>
          <w:szCs w:val="32"/>
        </w:rPr>
        <w:t>万亩左右,年均辣椒总产量达</w:t>
      </w:r>
      <w:r>
        <w:rPr>
          <w:rFonts w:hint="eastAsia" w:ascii="仿宋" w:hAnsi="仿宋" w:eastAsia="仿宋" w:cs="仿宋"/>
          <w:sz w:val="32"/>
          <w:szCs w:val="32"/>
          <w:lang w:val="en-US" w:eastAsia="zh-CN"/>
        </w:rPr>
        <w:t>4.51亿斤</w:t>
      </w:r>
      <w:r>
        <w:rPr>
          <w:rFonts w:hint="eastAsia" w:ascii="仿宋" w:hAnsi="仿宋" w:eastAsia="仿宋" w:cs="仿宋"/>
          <w:sz w:val="32"/>
          <w:szCs w:val="32"/>
        </w:rPr>
        <w:t xml:space="preserve">以上，同时种植的辣椒中辣椒红素含量较高，原料富足，进行辣椒精深加工，保证原料供给。 </w:t>
      </w:r>
    </w:p>
    <w:p>
      <w:pPr>
        <w:keepNext w:val="0"/>
        <w:keepLines w:val="0"/>
        <w:pageBreakBefore w:val="0"/>
        <w:widowControl w:val="0"/>
        <w:kinsoku/>
        <w:wordWrap/>
        <w:overflowPunct/>
        <w:topLinePunct w:val="0"/>
        <w:autoSpaceDE/>
        <w:autoSpaceDN/>
        <w:bidi w:val="0"/>
        <w:adjustRightInd/>
        <w:spacing w:line="540"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 xml:space="preserve">：年处理辣椒粉2000吨，生产辣椒红色素140吨，高纯度辣椒碱1000吨，辣椒精20吨。 </w:t>
      </w:r>
    </w:p>
    <w:p>
      <w:pPr>
        <w:keepNext w:val="0"/>
        <w:keepLines w:val="0"/>
        <w:pageBreakBefore w:val="0"/>
        <w:widowControl w:val="0"/>
        <w:kinsoku/>
        <w:wordWrap/>
        <w:overflowPunct/>
        <w:topLinePunct w:val="0"/>
        <w:autoSpaceDE/>
        <w:autoSpaceDN/>
        <w:bidi w:val="0"/>
        <w:adjustRightInd/>
        <w:spacing w:line="540"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：总投资</w:t>
      </w:r>
      <w:r>
        <w:rPr>
          <w:rFonts w:hint="eastAsia" w:ascii="仿宋" w:hAnsi="仿宋" w:eastAsia="仿宋" w:cs="仿宋"/>
          <w:sz w:val="32"/>
          <w:szCs w:val="32"/>
          <w:lang w:val="en-US" w:eastAsia="zh-CN"/>
        </w:rPr>
        <w:t>0.</w:t>
      </w:r>
      <w:r>
        <w:rPr>
          <w:rFonts w:hint="eastAsia" w:ascii="仿宋" w:hAnsi="仿宋" w:eastAsia="仿宋" w:cs="仿宋"/>
          <w:sz w:val="32"/>
          <w:szCs w:val="32"/>
        </w:rPr>
        <w:t>8</w:t>
      </w:r>
      <w:r>
        <w:rPr>
          <w:rFonts w:hint="eastAsia" w:ascii="仿宋" w:hAnsi="仿宋" w:eastAsia="仿宋" w:cs="仿宋"/>
          <w:sz w:val="32"/>
          <w:szCs w:val="32"/>
          <w:lang w:eastAsia="zh-CN"/>
        </w:rPr>
        <w:t>亿</w:t>
      </w:r>
      <w:r>
        <w:rPr>
          <w:rFonts w:hint="eastAsia" w:ascii="仿宋" w:hAnsi="仿宋" w:eastAsia="仿宋" w:cs="仿宋"/>
          <w:sz w:val="32"/>
          <w:szCs w:val="32"/>
        </w:rPr>
        <w:t xml:space="preserve">元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效益预测</w:t>
      </w:r>
      <w:r>
        <w:rPr>
          <w:rFonts w:hint="eastAsia" w:ascii="仿宋" w:hAnsi="仿宋" w:eastAsia="仿宋" w:cs="仿宋"/>
          <w:sz w:val="32"/>
          <w:szCs w:val="32"/>
        </w:rPr>
        <w:t>：销售收入5</w:t>
      </w:r>
      <w:r>
        <w:rPr>
          <w:rFonts w:hint="eastAsia" w:ascii="仿宋" w:hAnsi="仿宋" w:eastAsia="仿宋" w:cs="仿宋"/>
          <w:sz w:val="32"/>
          <w:szCs w:val="32"/>
          <w:lang w:eastAsia="zh-CN"/>
        </w:rPr>
        <w:t>亿</w:t>
      </w:r>
      <w:r>
        <w:rPr>
          <w:rFonts w:hint="eastAsia" w:ascii="仿宋" w:hAnsi="仿宋" w:eastAsia="仿宋" w:cs="仿宋"/>
          <w:sz w:val="32"/>
          <w:szCs w:val="32"/>
        </w:rPr>
        <w:t>元，利税</w:t>
      </w:r>
      <w:r>
        <w:rPr>
          <w:rFonts w:hint="eastAsia" w:ascii="仿宋" w:hAnsi="仿宋" w:eastAsia="仿宋" w:cs="仿宋"/>
          <w:sz w:val="32"/>
          <w:szCs w:val="32"/>
          <w:lang w:val="en-US" w:eastAsia="zh-CN"/>
        </w:rPr>
        <w:t>0.</w:t>
      </w:r>
      <w:r>
        <w:rPr>
          <w:rFonts w:hint="eastAsia" w:ascii="仿宋" w:hAnsi="仿宋" w:eastAsia="仿宋" w:cs="仿宋"/>
          <w:sz w:val="32"/>
          <w:szCs w:val="32"/>
        </w:rPr>
        <w:t>7</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adjustRightInd/>
        <w:spacing w:line="540" w:lineRule="exact"/>
        <w:jc w:val="both"/>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宋体" w:hAnsi="宋体" w:eastAsia="宋体" w:cs="宋体"/>
          <w:kern w:val="0"/>
          <w:sz w:val="44"/>
          <w:szCs w:val="44"/>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center"/>
        <w:rPr>
          <w:rFonts w:hint="eastAsia" w:ascii="Times New Roman" w:hAnsi="Times New Roman"/>
          <w:b/>
          <w:bCs/>
          <w:kern w:val="44"/>
          <w:sz w:val="44"/>
          <w:szCs w:val="44"/>
        </w:rPr>
      </w:pPr>
    </w:p>
    <w:p>
      <w:pPr>
        <w:pStyle w:val="3"/>
        <w:numPr>
          <w:ilvl w:val="1"/>
          <w:numId w:val="0"/>
        </w:numPr>
        <w:jc w:val="center"/>
        <w:rPr>
          <w:rFonts w:hint="eastAsia"/>
          <w:sz w:val="44"/>
          <w:szCs w:val="44"/>
        </w:rPr>
      </w:pPr>
      <w:r>
        <w:rPr>
          <w:rFonts w:hint="eastAsia"/>
          <w:sz w:val="44"/>
          <w:szCs w:val="44"/>
        </w:rPr>
        <w:t>低盐风味酱腌菜开发项目</w:t>
      </w:r>
    </w:p>
    <w:p>
      <w:pPr>
        <w:pageBreakBefore w:val="0"/>
        <w:widowControl w:val="0"/>
        <w:kinsoku/>
        <w:wordWrap/>
        <w:overflowPunct/>
        <w:topLinePunct w:val="0"/>
        <w:autoSpaceDE/>
        <w:autoSpaceDN/>
        <w:bidi w:val="0"/>
        <w:adjustRightInd/>
        <w:snapToGrid/>
        <w:spacing w:line="540" w:lineRule="exact"/>
        <w:ind w:left="0" w:leftChars="0" w:right="0" w:rightChars="0" w:firstLine="0" w:firstLineChars="0"/>
        <w:textAlignment w:val="auto"/>
        <w:rPr>
          <w:rFonts w:hint="eastAsia"/>
        </w:rPr>
      </w:pPr>
    </w:p>
    <w:p>
      <w:pPr>
        <w:keepNext w:val="0"/>
        <w:keepLines w:val="0"/>
        <w:pageBreakBefore w:val="0"/>
        <w:widowControl/>
        <w:kinsoku/>
        <w:wordWrap/>
        <w:overflowPunct/>
        <w:topLinePunct w:val="0"/>
        <w:autoSpaceDE/>
        <w:autoSpaceDN/>
        <w:bidi w:val="0"/>
        <w:adjustRightInd/>
        <w:spacing w:line="600" w:lineRule="exact"/>
        <w:ind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color w:val="000000"/>
          <w:kern w:val="0"/>
          <w:sz w:val="32"/>
          <w:szCs w:val="32"/>
        </w:rPr>
        <w:t>项目简介：</w:t>
      </w:r>
      <w:r>
        <w:rPr>
          <w:rFonts w:hint="eastAsia" w:ascii="仿宋" w:hAnsi="仿宋" w:eastAsia="仿宋" w:cs="仿宋"/>
          <w:color w:val="000000"/>
          <w:kern w:val="0"/>
          <w:sz w:val="32"/>
          <w:szCs w:val="32"/>
        </w:rPr>
        <w:t>酱腌菜制品是果蔬加工的主要品种之一，它作为我国传统食品，是人民日常生活中不可缺少的重要食品组成，深受国外广大消费者的喜爱。传统酱腌菜因作坊式生产，卫生状况差，品质难以控制，食盐含量过高，严重影响咸菜制品的风味和口感，酱腌菜向低盐化、营养化、方便卫生发展已成为必然趋势。我国年产酱腌菜已达250万吨以上，出口（包含半成品）20万吨，而其中精包装不足30%，而低盐化产品不足10%，现国内外市场对低盐化、风味化、安全卫生的酱腌菜产品需求极大，其市场售价已为高盐产品的1-2倍，低盐风味化已逐渐形成消费习惯，这将为传统食品改造、升级换代提供有利时机。本项目采用现代新技术、新设备、新材料，改造传统食品，实现生产机械化，开发生产系列低盐风味化酱腌菜品。萝卜产品目前在市场上销售势头良好，投资风险小，项目实施成功率高，进行萝卜成品深加工，生产萝卜速食产品系列,市场前景广阔。</w:t>
      </w:r>
    </w:p>
    <w:p>
      <w:pPr>
        <w:keepNext w:val="0"/>
        <w:keepLines w:val="0"/>
        <w:pageBreakBefore w:val="0"/>
        <w:widowControl/>
        <w:kinsoku/>
        <w:wordWrap/>
        <w:overflowPunct/>
        <w:topLinePunct w:val="0"/>
        <w:autoSpaceDE/>
        <w:autoSpaceDN/>
        <w:bidi w:val="0"/>
        <w:adjustRightInd/>
        <w:spacing w:line="600" w:lineRule="exact"/>
        <w:ind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color w:val="000000"/>
          <w:kern w:val="0"/>
          <w:sz w:val="32"/>
          <w:szCs w:val="32"/>
        </w:rPr>
        <w:t>建设条件：</w:t>
      </w:r>
      <w:r>
        <w:rPr>
          <w:rFonts w:hint="eastAsia" w:ascii="仿宋" w:hAnsi="仿宋" w:eastAsia="仿宋" w:cs="仿宋"/>
          <w:color w:val="000000"/>
          <w:kern w:val="0"/>
          <w:sz w:val="32"/>
          <w:szCs w:val="32"/>
        </w:rPr>
        <w:t>我市是著名的农业大市，年产各类蔬菜150万吨，原料充足有保障；水、电、气、道路、通讯等基础设施完善，能满足工厂的生产生活需要；有成熟的加工技术和悠久的加工历史；境内铁路、公路交通便捷。</w:t>
      </w:r>
    </w:p>
    <w:p>
      <w:pPr>
        <w:keepNext w:val="0"/>
        <w:keepLines w:val="0"/>
        <w:pageBreakBefore w:val="0"/>
        <w:widowControl/>
        <w:kinsoku/>
        <w:wordWrap/>
        <w:overflowPunct/>
        <w:topLinePunct w:val="0"/>
        <w:autoSpaceDE/>
        <w:autoSpaceDN/>
        <w:bidi w:val="0"/>
        <w:adjustRightInd/>
        <w:spacing w:line="600" w:lineRule="exact"/>
        <w:ind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color w:val="000000"/>
          <w:kern w:val="0"/>
          <w:sz w:val="32"/>
          <w:szCs w:val="32"/>
        </w:rPr>
        <w:t>建设内容：</w:t>
      </w:r>
      <w:r>
        <w:rPr>
          <w:rFonts w:hint="eastAsia" w:ascii="仿宋" w:hAnsi="仿宋" w:eastAsia="仿宋" w:cs="仿宋"/>
          <w:color w:val="000000"/>
          <w:kern w:val="0"/>
          <w:sz w:val="32"/>
          <w:szCs w:val="32"/>
        </w:rPr>
        <w:t>拟建年生产1万吨低盐风味化酱腌菜品、3万吨萝卜生产加工年产速食萝卜脆、萝卜干等系列食品。</w:t>
      </w:r>
    </w:p>
    <w:p>
      <w:pPr>
        <w:keepNext w:val="0"/>
        <w:keepLines w:val="0"/>
        <w:pageBreakBefore w:val="0"/>
        <w:widowControl/>
        <w:kinsoku/>
        <w:wordWrap/>
        <w:overflowPunct/>
        <w:topLinePunct w:val="0"/>
        <w:autoSpaceDE/>
        <w:autoSpaceDN/>
        <w:bidi w:val="0"/>
        <w:adjustRightInd/>
        <w:spacing w:line="600" w:lineRule="exact"/>
        <w:ind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color w:val="000000"/>
          <w:kern w:val="0"/>
          <w:sz w:val="32"/>
          <w:szCs w:val="32"/>
        </w:rPr>
        <w:t>投资估算：</w:t>
      </w:r>
      <w:r>
        <w:rPr>
          <w:rFonts w:hint="eastAsia" w:ascii="仿宋" w:hAnsi="仿宋" w:eastAsia="仿宋" w:cs="仿宋"/>
          <w:color w:val="000000"/>
          <w:kern w:val="0"/>
          <w:sz w:val="32"/>
          <w:szCs w:val="32"/>
        </w:rPr>
        <w:t>总投资</w:t>
      </w:r>
      <w:r>
        <w:rPr>
          <w:rFonts w:hint="eastAsia" w:ascii="仿宋" w:hAnsi="仿宋" w:eastAsia="仿宋" w:cs="仿宋"/>
          <w:color w:val="000000"/>
          <w:kern w:val="0"/>
          <w:sz w:val="32"/>
          <w:szCs w:val="32"/>
          <w:lang w:val="en-US" w:eastAsia="zh-CN"/>
        </w:rPr>
        <w:t>0.</w:t>
      </w:r>
      <w:r>
        <w:rPr>
          <w:rFonts w:hint="eastAsia" w:ascii="仿宋" w:hAnsi="仿宋" w:eastAsia="仿宋" w:cs="仿宋"/>
          <w:color w:val="000000"/>
          <w:kern w:val="0"/>
          <w:sz w:val="32"/>
          <w:szCs w:val="32"/>
        </w:rPr>
        <w:t>8</w:t>
      </w:r>
      <w:r>
        <w:rPr>
          <w:rFonts w:hint="eastAsia" w:ascii="仿宋" w:hAnsi="仿宋" w:eastAsia="仿宋" w:cs="仿宋"/>
          <w:color w:val="000000"/>
          <w:kern w:val="0"/>
          <w:sz w:val="32"/>
          <w:szCs w:val="32"/>
          <w:lang w:eastAsia="zh-CN"/>
        </w:rPr>
        <w:t>亿</w:t>
      </w:r>
      <w:r>
        <w:rPr>
          <w:rFonts w:hint="eastAsia" w:ascii="仿宋" w:hAnsi="仿宋" w:eastAsia="仿宋" w:cs="仿宋"/>
          <w:color w:val="000000"/>
          <w:kern w:val="0"/>
          <w:sz w:val="32"/>
          <w:szCs w:val="32"/>
        </w:rPr>
        <w:t>元人民币</w:t>
      </w:r>
    </w:p>
    <w:p>
      <w:pPr>
        <w:keepNext w:val="0"/>
        <w:keepLines w:val="0"/>
        <w:pageBreakBefore w:val="0"/>
        <w:widowControl/>
        <w:kinsoku/>
        <w:wordWrap/>
        <w:overflowPunct/>
        <w:topLinePunct w:val="0"/>
        <w:autoSpaceDE/>
        <w:autoSpaceDN/>
        <w:bidi w:val="0"/>
        <w:adjustRightInd/>
        <w:spacing w:line="600" w:lineRule="exact"/>
        <w:ind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color w:val="000000"/>
          <w:kern w:val="0"/>
          <w:sz w:val="32"/>
          <w:szCs w:val="32"/>
        </w:rPr>
        <w:t>效益预测：</w:t>
      </w:r>
      <w:r>
        <w:rPr>
          <w:rFonts w:hint="eastAsia" w:ascii="仿宋" w:hAnsi="仿宋" w:eastAsia="仿宋" w:cs="仿宋"/>
          <w:color w:val="000000"/>
          <w:kern w:val="0"/>
          <w:sz w:val="32"/>
          <w:szCs w:val="32"/>
        </w:rPr>
        <w:t>项目建成后年产值1.5 亿元，利润0.3亿元，投资回收期5年。 </w:t>
      </w:r>
    </w:p>
    <w:p>
      <w:pPr>
        <w:keepNext w:val="0"/>
        <w:keepLines w:val="0"/>
        <w:pageBreakBefore w:val="0"/>
        <w:widowControl/>
        <w:kinsoku/>
        <w:wordWrap/>
        <w:overflowPunct/>
        <w:topLinePunct w:val="0"/>
        <w:autoSpaceDE/>
        <w:autoSpaceDN/>
        <w:bidi w:val="0"/>
        <w:adjustRightInd/>
        <w:spacing w:line="600" w:lineRule="exact"/>
        <w:ind w:right="0" w:rightChars="0" w:firstLine="0" w:firstLine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color w:val="000000"/>
          <w:kern w:val="0"/>
          <w:sz w:val="32"/>
          <w:szCs w:val="32"/>
        </w:rPr>
        <w:t>前期工作：</w:t>
      </w:r>
      <w:r>
        <w:rPr>
          <w:rFonts w:hint="eastAsia" w:ascii="仿宋" w:hAnsi="仿宋" w:eastAsia="仿宋" w:cs="仿宋"/>
          <w:color w:val="000000"/>
          <w:kern w:val="0"/>
          <w:sz w:val="32"/>
          <w:szCs w:val="32"/>
        </w:rPr>
        <w:t>项目提出阶段</w:t>
      </w:r>
    </w:p>
    <w:p>
      <w:pPr>
        <w:keepNext w:val="0"/>
        <w:keepLines w:val="0"/>
        <w:pageBreakBefore w:val="0"/>
        <w:kinsoku/>
        <w:wordWrap/>
        <w:overflowPunct/>
        <w:topLinePunct w:val="0"/>
        <w:autoSpaceDE/>
        <w:autoSpaceDN/>
        <w:bidi w:val="0"/>
        <w:adjustRightInd/>
        <w:spacing w:line="600" w:lineRule="exact"/>
        <w:ind w:right="0" w:rightChars="0" w:firstLine="0" w:firstLineChars="0"/>
        <w:textAlignment w:val="auto"/>
        <w:outlineLvl w:val="9"/>
        <w:rPr>
          <w:rFonts w:hint="eastAsia" w:ascii="仿宋" w:hAnsi="仿宋" w:eastAsia="仿宋"/>
          <w:bCs/>
          <w:sz w:val="32"/>
          <w:szCs w:val="32"/>
        </w:rPr>
      </w:pPr>
      <w:r>
        <w:rPr>
          <w:rFonts w:hint="eastAsia" w:ascii="仿宋" w:hAnsi="仿宋" w:eastAsia="仿宋"/>
          <w:b/>
          <w:bCs/>
          <w:sz w:val="32"/>
          <w:szCs w:val="32"/>
        </w:rPr>
        <w:t>合作方式：</w:t>
      </w:r>
      <w:r>
        <w:rPr>
          <w:rFonts w:hint="eastAsia" w:ascii="仿宋" w:hAnsi="仿宋" w:eastAsia="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b/>
          <w:bCs/>
          <w:sz w:val="32"/>
          <w:szCs w:val="32"/>
          <w:lang w:val="en-US" w:eastAsia="zh-CN"/>
        </w:rPr>
        <w:t>联系地址</w:t>
      </w:r>
      <w:r>
        <w:rPr>
          <w:rFonts w:hint="eastAsia" w:ascii="仿宋" w:hAnsi="仿宋" w:eastAsia="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default" w:ascii="仿宋" w:hAnsi="仿宋" w:eastAsia="仿宋"/>
          <w:sz w:val="32"/>
          <w:szCs w:val="32"/>
          <w:lang w:val="en-US" w:eastAsia="zh-CN"/>
        </w:rPr>
      </w:pPr>
      <w:r>
        <w:rPr>
          <w:rFonts w:hint="eastAsia" w:ascii="仿宋" w:hAnsi="仿宋" w:eastAsia="仿宋"/>
          <w:b/>
          <w:bCs/>
          <w:sz w:val="32"/>
          <w:szCs w:val="32"/>
        </w:rPr>
        <w:t>联 系 人</w:t>
      </w:r>
      <w:r>
        <w:rPr>
          <w:rFonts w:hint="eastAsia" w:ascii="仿宋" w:hAnsi="仿宋" w:eastAsia="仿宋"/>
          <w:b/>
          <w:bCs/>
          <w:sz w:val="32"/>
          <w:szCs w:val="32"/>
          <w:lang w:eastAsia="zh-CN"/>
        </w:rPr>
        <w:t>：</w:t>
      </w:r>
      <w:r>
        <w:rPr>
          <w:rFonts w:hint="eastAsia" w:ascii="仿宋" w:hAnsi="仿宋" w:eastAsia="仿宋"/>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bCs/>
          <w:sz w:val="32"/>
          <w:szCs w:val="32"/>
        </w:rPr>
        <w:t>联系电话</w:t>
      </w:r>
      <w:r>
        <w:rPr>
          <w:rFonts w:hint="eastAsia" w:ascii="仿宋" w:hAnsi="仿宋" w:eastAsia="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 xml:space="preserve"> 0478-85</w:t>
      </w:r>
      <w:r>
        <w:rPr>
          <w:rFonts w:hint="eastAsia" w:ascii="仿宋" w:hAnsi="仿宋" w:eastAsia="仿宋"/>
          <w:sz w:val="32"/>
          <w:szCs w:val="32"/>
          <w:lang w:val="en-US" w:eastAsia="zh-CN"/>
        </w:rPr>
        <w:t>2</w:t>
      </w:r>
      <w:r>
        <w:rPr>
          <w:rFonts w:hint="eastAsia" w:ascii="仿宋" w:hAnsi="仿宋" w:eastAsia="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bCs/>
          <w:sz w:val="32"/>
          <w:szCs w:val="32"/>
        </w:rPr>
        <w:t>邮</w:t>
      </w:r>
      <w:r>
        <w:rPr>
          <w:rFonts w:hint="eastAsia" w:ascii="仿宋" w:hAnsi="仿宋" w:eastAsia="仿宋"/>
          <w:b/>
          <w:bCs/>
          <w:sz w:val="32"/>
          <w:szCs w:val="32"/>
          <w:lang w:val="en-US" w:eastAsia="zh-CN"/>
        </w:rPr>
        <w:t xml:space="preserve">    </w:t>
      </w:r>
      <w:r>
        <w:rPr>
          <w:rFonts w:hint="eastAsia" w:ascii="仿宋" w:hAnsi="仿宋" w:eastAsia="仿宋"/>
          <w:b/>
          <w:bCs/>
          <w:sz w:val="32"/>
          <w:szCs w:val="32"/>
        </w:rPr>
        <w:t>箱:</w:t>
      </w:r>
      <w:r>
        <w:rPr>
          <w:rFonts w:hint="eastAsia" w:ascii="仿宋" w:hAnsi="仿宋" w:eastAsia="仿宋"/>
          <w:b/>
          <w:bCs/>
          <w:sz w:val="32"/>
          <w:szCs w:val="32"/>
          <w:lang w:val="en-US" w:eastAsia="zh-CN"/>
        </w:rPr>
        <w:t xml:space="preserve"> </w:t>
      </w:r>
      <w:r>
        <w:rPr>
          <w:rFonts w:hint="eastAsia" w:ascii="仿宋" w:hAnsi="仿宋" w:eastAsia="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sz w:val="32"/>
          <w:szCs w:val="32"/>
        </w:rPr>
        <w:t>传</w:t>
      </w:r>
      <w:r>
        <w:rPr>
          <w:rFonts w:hint="eastAsia" w:ascii="仿宋" w:hAnsi="仿宋" w:eastAsia="仿宋"/>
          <w:b/>
          <w:sz w:val="32"/>
          <w:szCs w:val="32"/>
          <w:lang w:val="en-US" w:eastAsia="zh-CN"/>
        </w:rPr>
        <w:t xml:space="preserve">    </w:t>
      </w:r>
      <w:r>
        <w:rPr>
          <w:rFonts w:hint="eastAsia" w:ascii="仿宋" w:hAnsi="仿宋" w:eastAsia="仿宋"/>
          <w:b/>
          <w:sz w:val="32"/>
          <w:szCs w:val="32"/>
        </w:rPr>
        <w:t>真</w:t>
      </w:r>
      <w:r>
        <w:rPr>
          <w:rFonts w:hint="eastAsia" w:ascii="仿宋" w:hAnsi="仿宋" w:eastAsia="仿宋"/>
          <w:sz w:val="32"/>
          <w:szCs w:val="32"/>
        </w:rPr>
        <w:t>：0478-852385</w:t>
      </w:r>
      <w:r>
        <w:rPr>
          <w:rFonts w:hint="eastAsia" w:ascii="仿宋" w:hAnsi="仿宋" w:eastAsia="仿宋"/>
          <w:sz w:val="32"/>
          <w:szCs w:val="32"/>
          <w:lang w:val="en-US" w:eastAsia="zh-CN"/>
        </w:rPr>
        <w:t>3</w:t>
      </w: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spacing w:line="520" w:lineRule="exact"/>
        <w:rPr>
          <w:rFonts w:hint="eastAsia"/>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kern w:val="44"/>
          <w:sz w:val="44"/>
          <w:szCs w:val="44"/>
        </w:rPr>
      </w:pPr>
      <w:r>
        <w:rPr>
          <w:rFonts w:hint="eastAsia" w:ascii="宋体" w:hAnsi="宋体" w:eastAsia="宋体" w:cs="宋体"/>
          <w:b/>
          <w:bCs/>
          <w:sz w:val="44"/>
          <w:szCs w:val="44"/>
          <w:lang w:val="en-US" w:eastAsia="zh-CN"/>
        </w:rPr>
        <w:t>羊皮</w:t>
      </w:r>
      <w:r>
        <w:rPr>
          <w:rFonts w:hint="eastAsia" w:ascii="宋体" w:hAnsi="宋体" w:eastAsia="宋体" w:cs="宋体"/>
          <w:b/>
          <w:bCs/>
          <w:sz w:val="44"/>
          <w:szCs w:val="44"/>
        </w:rPr>
        <w:t>及</w:t>
      </w:r>
      <w:r>
        <w:rPr>
          <w:rFonts w:hint="eastAsia" w:ascii="宋体" w:hAnsi="宋体" w:eastAsia="宋体" w:cs="宋体"/>
          <w:b/>
          <w:bCs/>
          <w:sz w:val="44"/>
          <w:szCs w:val="44"/>
          <w:lang w:val="en-US" w:eastAsia="zh-CN"/>
        </w:rPr>
        <w:t>肉羊</w:t>
      </w:r>
      <w:r>
        <w:rPr>
          <w:rFonts w:hint="eastAsia" w:ascii="宋体" w:hAnsi="宋体" w:eastAsia="宋体" w:cs="宋体"/>
          <w:b/>
          <w:bCs/>
          <w:sz w:val="44"/>
          <w:szCs w:val="44"/>
        </w:rPr>
        <w:t>副产品</w:t>
      </w:r>
      <w:r>
        <w:rPr>
          <w:rFonts w:hint="eastAsia" w:ascii="宋体" w:hAnsi="宋体" w:eastAsia="宋体" w:cs="宋体"/>
          <w:b/>
          <w:bCs/>
          <w:sz w:val="44"/>
          <w:szCs w:val="44"/>
          <w:lang w:val="en-US" w:eastAsia="zh-CN"/>
        </w:rPr>
        <w:t>加工</w:t>
      </w:r>
      <w:r>
        <w:rPr>
          <w:rFonts w:hint="eastAsia" w:ascii="宋体" w:hAnsi="宋体" w:eastAsia="宋体" w:cs="宋体"/>
          <w:b/>
          <w:bCs/>
          <w:kern w:val="44"/>
          <w:sz w:val="44"/>
          <w:szCs w:val="44"/>
        </w:rPr>
        <w:t>项目</w:t>
      </w:r>
    </w:p>
    <w:p>
      <w:pPr>
        <w:jc w:val="center"/>
        <w:rPr>
          <w:rFonts w:hint="eastAsia" w:ascii="Times New Roman" w:hAnsi="Times New Roman"/>
          <w:b/>
          <w:bCs/>
          <w:kern w:val="44"/>
          <w:sz w:val="44"/>
          <w:szCs w:val="44"/>
        </w:rPr>
      </w:pPr>
    </w:p>
    <w:p>
      <w:pPr>
        <w:spacing w:line="520" w:lineRule="exact"/>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：羊肉的营养价值比较高，和猪肉相比，不论从脂肪还是胆固醇方面，都是比较少的，但是蛋白质却比较多，而且含有丰富的维生素B1、B2、B6以及铁、锌、硒等，多吃羊肉有助于提高身体免疫力。</w:t>
      </w:r>
    </w:p>
    <w:p>
      <w:pPr>
        <w:keepNext w:val="0"/>
        <w:keepLines w:val="0"/>
        <w:pageBreakBefore w:val="0"/>
        <w:widowControl w:val="0"/>
        <w:kinsoku/>
        <w:wordWrap/>
        <w:overflowPunct/>
        <w:topLinePunct w:val="0"/>
        <w:autoSpaceDE/>
        <w:autoSpaceDN/>
        <w:bidi w:val="0"/>
        <w:adjustRightInd/>
        <w:spacing w:line="460" w:lineRule="exact"/>
        <w:ind w:firstLine="640" w:firstLineChars="200"/>
        <w:textAlignment w:val="auto"/>
        <w:rPr>
          <w:rFonts w:hint="default" w:ascii="仿宋" w:hAnsi="仿宋" w:eastAsia="仿宋" w:cs="仿宋"/>
          <w:b/>
          <w:bCs/>
          <w:sz w:val="32"/>
          <w:szCs w:val="32"/>
          <w:lang w:val="en-US"/>
        </w:rPr>
      </w:pPr>
      <w:r>
        <w:rPr>
          <w:rFonts w:hint="eastAsia" w:ascii="仿宋" w:hAnsi="仿宋" w:eastAsia="仿宋" w:cs="仿宋"/>
          <w:sz w:val="32"/>
          <w:szCs w:val="32"/>
        </w:rPr>
        <w:t>肉羊业是巴彦淖尔畜牧业的重要组成部分，随着产业结构的调整，其比重不断增加，从区域优势看，肉羊实现规模化生产和供应市场的难度最低。巴彦淖尔市有多个优良肉羊品种，且分布区域较广，饲养条件适宜，养殖历史悠久，已经形成了较成熟的产业链。</w:t>
      </w:r>
      <w:r>
        <w:rPr>
          <w:rFonts w:hint="eastAsia" w:ascii="仿宋_GB2312" w:hAnsi="仿宋_GB2312" w:eastAsia="仿宋_GB2312" w:cs="仿宋_GB2312"/>
          <w:color w:val="FF0000"/>
          <w:sz w:val="32"/>
          <w:szCs w:val="32"/>
          <w:highlight w:val="none"/>
          <w:lang w:val="en-US" w:eastAsia="zh-CN"/>
        </w:rPr>
        <w:t>2022年全市羊饲养量2300多万只，羊存栏1100多万只、出栏1200多万只，</w:t>
      </w:r>
      <w:r>
        <w:rPr>
          <w:rFonts w:hint="eastAsia" w:ascii="仿宋_GB2312" w:hAnsi="仿宋_GB2312" w:eastAsia="仿宋_GB2312" w:cs="仿宋_GB2312"/>
          <w:color w:val="auto"/>
          <w:sz w:val="32"/>
          <w:szCs w:val="32"/>
          <w:highlight w:val="none"/>
          <w:lang w:val="en-US" w:eastAsia="zh-CN"/>
        </w:rPr>
        <w:t>出栏量居自治区首位。</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：年屠宰分割加工肉羊100万只（约5万吨），年熟食深加工制品7500吨</w:t>
      </w:r>
      <w:r>
        <w:rPr>
          <w:rFonts w:hint="eastAsia" w:ascii="仿宋" w:hAnsi="仿宋" w:eastAsia="仿宋" w:cs="仿宋"/>
          <w:sz w:val="32"/>
          <w:szCs w:val="32"/>
          <w:lang w:val="en-US" w:eastAsia="zh-CN"/>
        </w:rPr>
        <w:t>及羊皮加工项目</w:t>
      </w:r>
      <w:r>
        <w:rPr>
          <w:rFonts w:hint="eastAsia" w:ascii="仿宋" w:hAnsi="仿宋" w:eastAsia="仿宋" w:cs="仿宋"/>
          <w:sz w:val="32"/>
          <w:szCs w:val="32"/>
        </w:rPr>
        <w:t>（根据其加工能力而定）。其中屠宰分割产品分为主产品和副产品，主产品包括羊腔和三个等级肉类，副产品包括羊血、羊骨、羊肠等。</w:t>
      </w:r>
      <w:r>
        <w:rPr>
          <w:rFonts w:hint="eastAsia" w:ascii="仿宋" w:hAnsi="仿宋" w:eastAsia="仿宋" w:cs="仿宋"/>
          <w:sz w:val="32"/>
          <w:szCs w:val="32"/>
          <w:lang w:val="en-US" w:eastAsia="zh-CN"/>
        </w:rPr>
        <w:t>主要原料：</w:t>
      </w:r>
      <w:r>
        <w:rPr>
          <w:rFonts w:hint="eastAsia" w:ascii="仿宋" w:hAnsi="仿宋" w:eastAsia="仿宋" w:cs="仿宋"/>
          <w:sz w:val="32"/>
          <w:szCs w:val="32"/>
        </w:rPr>
        <w:t>肉羊100万只左右（平均每只20kg），塑料袋、纸箱若干。</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：总投资</w:t>
      </w:r>
      <w:r>
        <w:rPr>
          <w:rFonts w:hint="eastAsia" w:ascii="仿宋" w:hAnsi="仿宋" w:eastAsia="仿宋" w:cs="仿宋"/>
          <w:sz w:val="32"/>
          <w:szCs w:val="32"/>
          <w:lang w:val="en-US" w:eastAsia="zh-CN"/>
        </w:rPr>
        <w:t>3.2亿元，</w:t>
      </w:r>
      <w:r>
        <w:rPr>
          <w:rFonts w:hint="eastAsia" w:ascii="仿宋" w:hAnsi="仿宋" w:eastAsia="仿宋" w:cs="仿宋"/>
          <w:sz w:val="32"/>
          <w:szCs w:val="32"/>
        </w:rPr>
        <w:t>建设投资</w:t>
      </w:r>
      <w:r>
        <w:rPr>
          <w:rFonts w:hint="eastAsia" w:ascii="仿宋" w:hAnsi="仿宋" w:eastAsia="仿宋" w:cs="仿宋"/>
          <w:sz w:val="32"/>
          <w:szCs w:val="32"/>
          <w:lang w:val="en-US" w:eastAsia="zh-CN"/>
        </w:rPr>
        <w:t>2.2亿元。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3亿元，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2.5亿元。</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5"/>
        <w:pageBreakBefore w:val="0"/>
        <w:widowControl w:val="0"/>
        <w:kinsoku/>
        <w:wordWrap/>
        <w:overflowPunct/>
        <w:topLinePunct w:val="0"/>
        <w:autoSpaceDE/>
        <w:autoSpaceDN/>
        <w:bidi w:val="0"/>
        <w:adjustRightInd/>
        <w:snapToGrid/>
        <w:spacing w:before="0" w:after="0" w:line="540" w:lineRule="exact"/>
        <w:ind w:left="0" w:leftChars="0" w:right="0" w:rightChars="0" w:firstLine="0" w:firstLineChars="0"/>
        <w:jc w:val="center"/>
        <w:textAlignment w:val="auto"/>
        <w:rPr>
          <w:rFonts w:hint="eastAsia" w:ascii="宋体" w:hAnsi="宋体" w:eastAsia="宋体" w:cs="宋体"/>
          <w:sz w:val="44"/>
          <w:szCs w:val="44"/>
        </w:rPr>
      </w:pPr>
      <w:bookmarkStart w:id="0" w:name="_Toc9913"/>
      <w:bookmarkStart w:id="1" w:name="_Toc394475885"/>
      <w:bookmarkStart w:id="2" w:name="_Toc401234465"/>
      <w:bookmarkStart w:id="3" w:name="_Toc401228430"/>
      <w:r>
        <w:rPr>
          <w:rFonts w:hint="eastAsia" w:ascii="宋体" w:hAnsi="宋体" w:eastAsia="宋体" w:cs="宋体"/>
          <w:sz w:val="44"/>
          <w:szCs w:val="44"/>
        </w:rPr>
        <w:t>年产6000吨骨明胶及磷酸氢钙项目</w:t>
      </w:r>
      <w:bookmarkEnd w:id="0"/>
      <w:bookmarkEnd w:id="1"/>
      <w:bookmarkEnd w:id="2"/>
      <w:bookmarkEnd w:id="3"/>
    </w:p>
    <w:p>
      <w:pPr>
        <w:jc w:val="left"/>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明胶为动物的皮、骨、腱与韧带中含有的胶原，经部分水解后得到的一种制品。从动物的胶原质中，通过部分酸法水解(A型)，或者部分碱法水解(B型)，甚至还可以通过酶解，提纯而获得胶原蛋白。明胶是胶原的水解产物，是一种无脂肪的高蛋白，且不含胆固醇，是一种天然营养型的食品增稠剂。食用后既不会使人发胖，也不会导致体力下降。明胶还是一种强有力的保护胶体，乳化力强，进入胃后能抑制牛奶、豆浆等蛋白质因胃酸作用而引起的凝聚作用，从而有利于食物消化。明胶按用途可分为照相、食用、药用及工业四类。我市现有畜禽标准化规模养殖场（345)个，其中肉羊标准化规模养殖小区（场）267个，占77%。全市累计建成肉羊、奶牛、生猪三大畜种规模化养殖场（小区）4157个，规模化养殖比例60%，其中，年出栏1000只以上的肉羊规模化养殖场3628个，规模化养殖比例63%。</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color w:val="FF0000"/>
          <w:sz w:val="32"/>
          <w:szCs w:val="32"/>
          <w:lang w:val="en-US" w:eastAsia="zh-CN"/>
        </w:rPr>
        <w:t>2022年肉</w:t>
      </w:r>
      <w:r>
        <w:rPr>
          <w:rFonts w:hint="eastAsia" w:ascii="仿宋" w:hAnsi="仿宋" w:eastAsia="仿宋" w:cs="仿宋"/>
          <w:color w:val="FF0000"/>
          <w:sz w:val="32"/>
          <w:szCs w:val="32"/>
        </w:rPr>
        <w:t>羊饲养量</w:t>
      </w:r>
      <w:r>
        <w:rPr>
          <w:rFonts w:hint="eastAsia" w:ascii="仿宋" w:hAnsi="仿宋" w:eastAsia="仿宋" w:cs="仿宋"/>
          <w:color w:val="FF0000"/>
          <w:sz w:val="32"/>
          <w:szCs w:val="32"/>
          <w:lang w:val="en-US" w:eastAsia="zh-CN"/>
        </w:rPr>
        <w:t>2300多万只，羊</w:t>
      </w:r>
      <w:r>
        <w:rPr>
          <w:rFonts w:hint="eastAsia" w:ascii="仿宋" w:hAnsi="仿宋" w:eastAsia="仿宋" w:cs="仿宋"/>
          <w:color w:val="FF0000"/>
          <w:sz w:val="32"/>
          <w:szCs w:val="32"/>
        </w:rPr>
        <w:t>出栏1</w:t>
      </w:r>
      <w:r>
        <w:rPr>
          <w:rFonts w:hint="eastAsia" w:ascii="仿宋" w:hAnsi="仿宋" w:eastAsia="仿宋" w:cs="仿宋"/>
          <w:color w:val="FF0000"/>
          <w:sz w:val="32"/>
          <w:szCs w:val="32"/>
          <w:lang w:val="en-US" w:eastAsia="zh-CN"/>
        </w:rPr>
        <w:t>200多</w:t>
      </w:r>
      <w:r>
        <w:rPr>
          <w:rFonts w:hint="eastAsia" w:ascii="仿宋" w:hAnsi="仿宋" w:eastAsia="仿宋" w:cs="仿宋"/>
          <w:color w:val="FF0000"/>
          <w:sz w:val="32"/>
          <w:szCs w:val="32"/>
        </w:rPr>
        <w:t>万只，</w:t>
      </w:r>
      <w:r>
        <w:rPr>
          <w:rFonts w:hint="eastAsia" w:ascii="仿宋_GB2312" w:hAnsi="仿宋_GB2312" w:eastAsia="仿宋_GB2312" w:cs="仿宋_GB2312"/>
          <w:color w:val="FF0000"/>
          <w:sz w:val="32"/>
          <w:szCs w:val="32"/>
        </w:rPr>
        <w:t>羊肉产量2</w:t>
      </w:r>
      <w:r>
        <w:rPr>
          <w:rFonts w:hint="eastAsia" w:ascii="仿宋_GB2312" w:hAnsi="仿宋_GB2312" w:eastAsia="仿宋_GB2312" w:cs="仿宋_GB2312"/>
          <w:color w:val="FF0000"/>
          <w:sz w:val="32"/>
          <w:szCs w:val="32"/>
          <w:lang w:val="en-US" w:eastAsia="zh-CN"/>
        </w:rPr>
        <w:t>8</w:t>
      </w:r>
      <w:r>
        <w:rPr>
          <w:rFonts w:hint="eastAsia" w:ascii="仿宋_GB2312" w:hAnsi="仿宋_GB2312" w:eastAsia="仿宋_GB2312" w:cs="仿宋_GB2312"/>
          <w:color w:val="FF0000"/>
          <w:sz w:val="32"/>
          <w:szCs w:val="32"/>
        </w:rPr>
        <w:t>万吨</w:t>
      </w:r>
      <w:r>
        <w:rPr>
          <w:rFonts w:hint="eastAsia" w:ascii="仿宋_GB2312" w:hAnsi="仿宋_GB2312" w:eastAsia="仿宋_GB2312" w:cs="仿宋_GB2312"/>
          <w:color w:val="FF0000"/>
          <w:sz w:val="32"/>
          <w:szCs w:val="32"/>
          <w:lang w:eastAsia="zh-CN"/>
        </w:rPr>
        <w:t>，</w:t>
      </w:r>
      <w:r>
        <w:rPr>
          <w:rFonts w:hint="eastAsia" w:ascii="仿宋" w:hAnsi="仿宋" w:eastAsia="仿宋" w:cs="仿宋"/>
          <w:sz w:val="32"/>
          <w:szCs w:val="32"/>
        </w:rPr>
        <w:t>居全国第一。据区内屠宰企业介绍，畜骨占胴体的比重很大，瘦羊可达40%。因此，畜骨利用也是畜牧业副产品加工的重要项目。据粗略统计，我市年可产畜骨20万吨，各类牲畜皮800万平方米，由于区内缺少下游企业，骨、皮等副产品只能销往外地，可为项目提供充足的原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药用明胶：开发区有全球最大的原料药基地联邦制药以及浙江上市公司京新药业的生产基地，可消化企业产品。</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b/>
          <w:bCs/>
          <w:sz w:val="32"/>
          <w:szCs w:val="32"/>
        </w:rPr>
      </w:pPr>
      <w:r>
        <w:rPr>
          <w:rFonts w:hint="eastAsia" w:ascii="仿宋" w:hAnsi="仿宋" w:eastAsia="仿宋" w:cs="仿宋"/>
          <w:sz w:val="32"/>
          <w:szCs w:val="32"/>
        </w:rPr>
        <w:t>食用明胶：市内有乌兰布和乳业，距我市200公里的包头更是有蒙牛、伊利两家驰名全国的乳业生产公司，这些企业生产雪糕、冰激凌等产品都需要高质量的食用明胶。</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：年产6000吨骨明胶项目，其中年产硬胶囊药用明胶3000吨、软胶囊药用明胶1800吨、高档食用明胶600吨、食用明胶400吨/年、照相明胶200吨/年、磷钙副产品21900吨。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：总投资3</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销售收入5</w:t>
      </w:r>
      <w:r>
        <w:rPr>
          <w:rFonts w:hint="eastAsia" w:ascii="仿宋" w:hAnsi="仿宋" w:eastAsia="仿宋" w:cs="仿宋"/>
          <w:sz w:val="32"/>
          <w:szCs w:val="32"/>
          <w:lang w:val="en-US" w:eastAsia="zh-CN"/>
        </w:rPr>
        <w:t>.</w:t>
      </w:r>
      <w:r>
        <w:rPr>
          <w:rFonts w:hint="eastAsia" w:ascii="仿宋" w:hAnsi="仿宋" w:eastAsia="仿宋" w:cs="仿宋"/>
          <w:sz w:val="32"/>
          <w:szCs w:val="32"/>
        </w:rPr>
        <w:t>3</w:t>
      </w:r>
      <w:r>
        <w:rPr>
          <w:rFonts w:hint="eastAsia" w:ascii="仿宋" w:hAnsi="仿宋" w:eastAsia="仿宋" w:cs="仿宋"/>
          <w:sz w:val="32"/>
          <w:szCs w:val="32"/>
          <w:lang w:eastAsia="zh-CN"/>
        </w:rPr>
        <w:t>亿</w:t>
      </w:r>
      <w:r>
        <w:rPr>
          <w:rFonts w:hint="eastAsia" w:ascii="仿宋" w:hAnsi="仿宋" w:eastAsia="仿宋" w:cs="仿宋"/>
          <w:sz w:val="32"/>
          <w:szCs w:val="32"/>
        </w:rPr>
        <w:t>元，利润</w:t>
      </w:r>
      <w:r>
        <w:rPr>
          <w:rFonts w:hint="eastAsia" w:ascii="仿宋" w:hAnsi="仿宋" w:eastAsia="仿宋" w:cs="仿宋"/>
          <w:sz w:val="32"/>
          <w:szCs w:val="32"/>
          <w:lang w:val="en-US" w:eastAsia="zh-CN"/>
        </w:rPr>
        <w:t>0.</w:t>
      </w:r>
      <w:r>
        <w:rPr>
          <w:rFonts w:hint="eastAsia" w:ascii="仿宋" w:hAnsi="仿宋" w:eastAsia="仿宋" w:cs="仿宋"/>
          <w:sz w:val="32"/>
          <w:szCs w:val="32"/>
        </w:rPr>
        <w:t>987</w:t>
      </w:r>
      <w:r>
        <w:rPr>
          <w:rFonts w:hint="eastAsia" w:ascii="仿宋" w:hAnsi="仿宋" w:eastAsia="仿宋" w:cs="仿宋"/>
          <w:sz w:val="32"/>
          <w:szCs w:val="32"/>
          <w:lang w:eastAsia="zh-CN"/>
        </w:rPr>
        <w:t>亿</w:t>
      </w:r>
      <w:r>
        <w:rPr>
          <w:rFonts w:hint="eastAsia" w:ascii="仿宋" w:hAnsi="仿宋" w:eastAsia="仿宋" w:cs="仿宋"/>
          <w:sz w:val="32"/>
          <w:szCs w:val="32"/>
        </w:rPr>
        <w:t>元，税金</w:t>
      </w:r>
      <w:r>
        <w:rPr>
          <w:rFonts w:hint="eastAsia" w:ascii="仿宋" w:hAnsi="仿宋" w:eastAsia="仿宋" w:cs="仿宋"/>
          <w:sz w:val="32"/>
          <w:szCs w:val="32"/>
          <w:lang w:val="en-US" w:eastAsia="zh-CN"/>
        </w:rPr>
        <w:t>0.</w:t>
      </w:r>
      <w:r>
        <w:rPr>
          <w:rFonts w:hint="eastAsia" w:ascii="仿宋" w:hAnsi="仿宋" w:eastAsia="仿宋" w:cs="仿宋"/>
          <w:sz w:val="32"/>
          <w:szCs w:val="32"/>
        </w:rPr>
        <w:t>5018</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both"/>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肠衣深加工及原料提取项目</w:t>
      </w:r>
    </w:p>
    <w:p>
      <w:pPr>
        <w:jc w:val="center"/>
        <w:rPr>
          <w:rFonts w:hint="default" w:ascii="宋体" w:hAns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本项目按照综合开发，合理利用和高科技、高效益、高水准、优化经营的“三高一优”原则，以已有的肉羊深加工技术和科研院所为依托，充分考虑国内外市场和巴彦淖尔市养殖业基地丰富的肉羊资源，建设以冷鲜羊肉、胎盘、血清、肠衣及其他脏器综合开发的产业化项目。</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ascii="仿宋_GB2312" w:hAnsi="仿宋_GB2312" w:eastAsia="仿宋_GB2312" w:cs="仿宋_GB2312"/>
          <w:color w:val="FF0000"/>
          <w:sz w:val="32"/>
          <w:szCs w:val="32"/>
        </w:rPr>
        <w:t>20</w:t>
      </w:r>
      <w:r>
        <w:rPr>
          <w:rFonts w:hint="eastAsia" w:ascii="仿宋_GB2312" w:hAnsi="仿宋_GB2312" w:eastAsia="仿宋_GB2312" w:cs="仿宋_GB2312"/>
          <w:color w:val="FF0000"/>
          <w:sz w:val="32"/>
          <w:szCs w:val="32"/>
        </w:rPr>
        <w:t>2</w:t>
      </w:r>
      <w:r>
        <w:rPr>
          <w:rFonts w:hint="eastAsia" w:ascii="仿宋_GB2312" w:hAnsi="仿宋_GB2312" w:eastAsia="仿宋_GB2312" w:cs="仿宋_GB2312"/>
          <w:color w:val="FF0000"/>
          <w:sz w:val="32"/>
          <w:szCs w:val="32"/>
          <w:lang w:val="en-US" w:eastAsia="zh-CN"/>
        </w:rPr>
        <w:t>2</w:t>
      </w:r>
      <w:r>
        <w:rPr>
          <w:rFonts w:hint="eastAsia" w:ascii="仿宋_GB2312" w:hAnsi="仿宋_GB2312" w:eastAsia="仿宋_GB2312" w:cs="仿宋_GB2312"/>
          <w:color w:val="FF0000"/>
          <w:sz w:val="32"/>
          <w:szCs w:val="32"/>
        </w:rPr>
        <w:t>年全市</w:t>
      </w:r>
      <w:r>
        <w:rPr>
          <w:rFonts w:hint="eastAsia" w:ascii="仿宋_GB2312" w:hAnsi="仿宋_GB2312" w:eastAsia="仿宋_GB2312" w:cs="仿宋_GB2312"/>
          <w:color w:val="FF0000"/>
          <w:sz w:val="32"/>
          <w:szCs w:val="32"/>
          <w:lang w:val="en-US" w:eastAsia="zh-CN"/>
        </w:rPr>
        <w:t>牲畜</w:t>
      </w:r>
      <w:r>
        <w:rPr>
          <w:rFonts w:hint="eastAsia" w:ascii="仿宋_GB2312" w:hAnsi="仿宋_GB2312" w:eastAsia="仿宋_GB2312" w:cs="仿宋_GB2312"/>
          <w:color w:val="FF0000"/>
          <w:sz w:val="32"/>
          <w:szCs w:val="32"/>
        </w:rPr>
        <w:t>饲养量</w:t>
      </w:r>
      <w:r>
        <w:rPr>
          <w:rFonts w:hint="eastAsia" w:ascii="仿宋_GB2312" w:hAnsi="仿宋_GB2312" w:eastAsia="仿宋_GB2312" w:cs="仿宋_GB2312"/>
          <w:color w:val="FF0000"/>
          <w:sz w:val="32"/>
          <w:szCs w:val="32"/>
          <w:lang w:val="en-US" w:eastAsia="zh-CN"/>
        </w:rPr>
        <w:t>2300多</w:t>
      </w:r>
      <w:r>
        <w:rPr>
          <w:rFonts w:hint="eastAsia" w:ascii="仿宋_GB2312" w:hAnsi="仿宋_GB2312" w:eastAsia="仿宋_GB2312" w:cs="仿宋_GB2312"/>
          <w:color w:val="FF0000"/>
          <w:sz w:val="32"/>
          <w:szCs w:val="32"/>
        </w:rPr>
        <w:t>万只</w:t>
      </w:r>
      <w:r>
        <w:rPr>
          <w:rFonts w:hint="eastAsia" w:ascii="仿宋" w:hAnsi="仿宋" w:eastAsia="仿宋" w:cs="仿宋"/>
          <w:color w:val="FF0000"/>
          <w:sz w:val="32"/>
          <w:szCs w:val="32"/>
        </w:rPr>
        <w:t>。</w:t>
      </w:r>
      <w:r>
        <w:rPr>
          <w:rFonts w:hint="eastAsia" w:ascii="仿宋" w:hAnsi="仿宋" w:eastAsia="仿宋" w:cs="仿宋"/>
          <w:sz w:val="32"/>
          <w:szCs w:val="32"/>
        </w:rPr>
        <w:t>近年来，巴彦淖尔市农区牛羊养殖畜牧业快速崛起，牲畜头数大幅度增长，出栏率、商品率大幅度提高，畜牧业综合生产能力、经济效益因此显著提升，牧草资源丰富，为当地畜牧业发展提供了得天独厚的发展条件。</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_GB2312"/>
          <w:sz w:val="32"/>
          <w:szCs w:val="32"/>
        </w:rPr>
      </w:pPr>
      <w:r>
        <w:rPr>
          <w:rFonts w:hint="eastAsia" w:ascii="仿宋" w:hAnsi="仿宋" w:eastAsia="仿宋" w:cs="仿宋_GB2312"/>
          <w:b/>
          <w:bCs/>
          <w:sz w:val="32"/>
          <w:szCs w:val="32"/>
        </w:rPr>
        <w:t>建设条件：</w:t>
      </w:r>
      <w:r>
        <w:rPr>
          <w:rFonts w:hint="eastAsia" w:ascii="仿宋" w:hAnsi="仿宋" w:eastAsia="仿宋" w:cs="仿宋_GB2312"/>
          <w:sz w:val="32"/>
          <w:szCs w:val="32"/>
        </w:rPr>
        <w:t>肠衣是从猪小肠、羊肠等动物脏器中提取的纯天然生化制品和绿色食品包装。巴彦淖尔市地势平坦、土地肥沃，丰富而优质的饲草料资源为本市的猪、牛、羊产业发展提供了得天独厚的优越条件。随着巴彦淖尔市</w:t>
      </w:r>
      <w:r>
        <w:rPr>
          <w:rFonts w:hint="eastAsia" w:ascii="仿宋" w:hAnsi="仿宋" w:eastAsia="仿宋" w:cs="仿宋_GB2312"/>
          <w:color w:val="000000"/>
          <w:sz w:val="32"/>
          <w:szCs w:val="32"/>
        </w:rPr>
        <w:t>畜牧</w:t>
      </w:r>
      <w:r>
        <w:rPr>
          <w:rFonts w:hint="eastAsia" w:ascii="仿宋" w:hAnsi="仿宋" w:eastAsia="仿宋" w:cs="仿宋_GB2312"/>
          <w:sz w:val="32"/>
          <w:szCs w:val="32"/>
        </w:rPr>
        <w:t>业的持续发展，近年来巴彦淖尔市牲畜出栏头数大幅增长，猪牛羊等肉类产量实现全面增长。年产猪、羊肠衣1500万条以上</w:t>
      </w:r>
      <w:r>
        <w:rPr>
          <w:rFonts w:hint="eastAsia" w:ascii="仿宋" w:hAnsi="仿宋" w:eastAsia="仿宋" w:cs="仿宋_GB2312"/>
          <w:sz w:val="32"/>
          <w:szCs w:val="32"/>
          <w:lang w:eastAsia="zh-CN"/>
        </w:rPr>
        <w:t>。</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_GB2312"/>
          <w:sz w:val="32"/>
          <w:szCs w:val="32"/>
        </w:rPr>
      </w:pPr>
      <w:r>
        <w:rPr>
          <w:rFonts w:hint="eastAsia" w:ascii="仿宋" w:hAnsi="仿宋" w:eastAsia="仿宋" w:cs="仿宋_GB2312"/>
          <w:b/>
          <w:bCs/>
          <w:sz w:val="32"/>
          <w:szCs w:val="32"/>
        </w:rPr>
        <w:t>建设内容：</w:t>
      </w:r>
      <w:r>
        <w:rPr>
          <w:rFonts w:hint="eastAsia" w:ascii="仿宋" w:hAnsi="仿宋" w:eastAsia="仿宋" w:cs="仿宋_GB2312"/>
          <w:sz w:val="32"/>
          <w:szCs w:val="32"/>
        </w:rPr>
        <w:t>肠衣深加工及生化药物原料提取项目。</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_GB2312"/>
          <w:sz w:val="32"/>
          <w:szCs w:val="32"/>
        </w:rPr>
      </w:pPr>
      <w:r>
        <w:rPr>
          <w:rFonts w:hint="eastAsia" w:ascii="仿宋" w:hAnsi="仿宋" w:eastAsia="仿宋" w:cs="仿宋_GB2312"/>
          <w:b/>
          <w:bCs/>
          <w:sz w:val="32"/>
          <w:szCs w:val="32"/>
        </w:rPr>
        <w:t>投资估算：</w:t>
      </w:r>
      <w:r>
        <w:rPr>
          <w:rFonts w:hint="eastAsia" w:ascii="仿宋" w:hAnsi="仿宋" w:eastAsia="仿宋" w:cs="仿宋_GB2312"/>
          <w:sz w:val="32"/>
          <w:szCs w:val="32"/>
        </w:rPr>
        <w:t>项目总投资1</w:t>
      </w:r>
      <w:r>
        <w:rPr>
          <w:rFonts w:hint="eastAsia" w:ascii="仿宋" w:hAnsi="仿宋" w:eastAsia="仿宋" w:cs="仿宋_GB2312"/>
          <w:sz w:val="32"/>
          <w:szCs w:val="32"/>
          <w:lang w:val="en-US" w:eastAsia="zh-CN"/>
        </w:rPr>
        <w:t>亿</w:t>
      </w:r>
      <w:r>
        <w:rPr>
          <w:rFonts w:hint="eastAsia" w:ascii="仿宋" w:hAnsi="仿宋" w:eastAsia="仿宋" w:cs="仿宋_GB2312"/>
          <w:sz w:val="32"/>
          <w:szCs w:val="32"/>
        </w:rPr>
        <w:t>元。</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_GB2312"/>
          <w:sz w:val="32"/>
          <w:szCs w:val="32"/>
        </w:rPr>
      </w:pPr>
      <w:r>
        <w:rPr>
          <w:rFonts w:hint="eastAsia" w:ascii="仿宋" w:hAnsi="仿宋" w:eastAsia="仿宋" w:cs="仿宋_GB2312"/>
          <w:b/>
          <w:bCs/>
          <w:sz w:val="32"/>
          <w:szCs w:val="32"/>
        </w:rPr>
        <w:t>效益预测：</w:t>
      </w:r>
      <w:r>
        <w:rPr>
          <w:rFonts w:hint="eastAsia" w:ascii="仿宋" w:hAnsi="仿宋" w:eastAsia="仿宋" w:cs="仿宋_GB2312"/>
          <w:sz w:val="32"/>
          <w:szCs w:val="32"/>
        </w:rPr>
        <w:t>年实现销售收入2</w:t>
      </w:r>
      <w:r>
        <w:rPr>
          <w:rFonts w:hint="eastAsia" w:ascii="仿宋" w:hAnsi="仿宋" w:eastAsia="仿宋" w:cs="仿宋_GB2312"/>
          <w:sz w:val="32"/>
          <w:szCs w:val="32"/>
          <w:lang w:val="en-US" w:eastAsia="zh-CN"/>
        </w:rPr>
        <w:t>亿</w:t>
      </w:r>
      <w:r>
        <w:rPr>
          <w:rFonts w:hint="eastAsia" w:ascii="仿宋" w:hAnsi="仿宋" w:eastAsia="仿宋" w:cs="仿宋_GB2312"/>
          <w:sz w:val="32"/>
          <w:szCs w:val="32"/>
        </w:rPr>
        <w:t>元，利税</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3</w:t>
      </w:r>
      <w:r>
        <w:rPr>
          <w:rFonts w:hint="eastAsia" w:ascii="仿宋" w:hAnsi="仿宋" w:eastAsia="仿宋" w:cs="仿宋_GB2312"/>
          <w:sz w:val="32"/>
          <w:szCs w:val="32"/>
          <w:lang w:val="en-US" w:eastAsia="zh-CN"/>
        </w:rPr>
        <w:t>亿</w:t>
      </w:r>
      <w:r>
        <w:rPr>
          <w:rFonts w:hint="eastAsia" w:ascii="仿宋" w:hAnsi="仿宋" w:eastAsia="仿宋" w:cs="仿宋_GB2312"/>
          <w:sz w:val="32"/>
          <w:szCs w:val="32"/>
        </w:rPr>
        <w:t>元。</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center"/>
        <w:rPr>
          <w:rFonts w:hint="eastAsia"/>
          <w:b/>
          <w:bCs/>
          <w:sz w:val="44"/>
          <w:szCs w:val="44"/>
        </w:rPr>
      </w:pPr>
      <w:bookmarkStart w:id="4" w:name="_Toc401228429"/>
      <w:bookmarkStart w:id="5" w:name="_Toc401234464"/>
      <w:bookmarkStart w:id="6" w:name="_Toc394475862"/>
      <w:bookmarkStart w:id="7" w:name="_Toc24969"/>
      <w:r>
        <w:rPr>
          <w:rFonts w:hint="eastAsia"/>
          <w:b/>
          <w:bCs/>
          <w:sz w:val="44"/>
          <w:szCs w:val="44"/>
        </w:rPr>
        <w:t>羊胎盘</w:t>
      </w:r>
      <w:r>
        <w:rPr>
          <w:rFonts w:hint="eastAsia"/>
          <w:b/>
          <w:bCs/>
          <w:sz w:val="44"/>
          <w:szCs w:val="44"/>
          <w:lang w:val="en-US" w:eastAsia="zh-CN"/>
        </w:rPr>
        <w:t>深</w:t>
      </w:r>
      <w:r>
        <w:rPr>
          <w:rFonts w:hint="eastAsia"/>
          <w:b/>
          <w:bCs/>
          <w:sz w:val="44"/>
          <w:szCs w:val="44"/>
        </w:rPr>
        <w:t>加工项目</w:t>
      </w:r>
      <w:bookmarkEnd w:id="4"/>
      <w:bookmarkEnd w:id="5"/>
      <w:bookmarkEnd w:id="6"/>
      <w:bookmarkEnd w:id="7"/>
    </w:p>
    <w:p>
      <w:pPr>
        <w:jc w:val="left"/>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：羊胚胎素是从羊胎盘中采取联合分级技术和限制性多酶促反应技术提取的，是制造药品、保健品、化妆品的极好原料。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本项目按照综合开发，合理利用和高科技、高效益、高水准、优化经营的“三高一优”原则，以已有的肉羊深加工技术和科研院所为依托，充分考虑国内外市场和巴彦淖尔市养殖业基地丰富的肉羊资源，建设以胎盘、血清综合开发的产业化项目。</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ascii="仿宋_GB2312" w:hAnsi="仿宋_GB2312" w:eastAsia="仿宋_GB2312" w:cs="仿宋_GB2312"/>
          <w:color w:val="FF0000"/>
          <w:sz w:val="32"/>
          <w:szCs w:val="32"/>
        </w:rPr>
        <w:t>20</w:t>
      </w:r>
      <w:r>
        <w:rPr>
          <w:rFonts w:hint="eastAsia" w:ascii="仿宋_GB2312" w:hAnsi="仿宋_GB2312" w:eastAsia="仿宋_GB2312" w:cs="仿宋_GB2312"/>
          <w:color w:val="FF0000"/>
          <w:sz w:val="32"/>
          <w:szCs w:val="32"/>
        </w:rPr>
        <w:t>2</w:t>
      </w:r>
      <w:r>
        <w:rPr>
          <w:rFonts w:hint="eastAsia" w:ascii="仿宋_GB2312" w:hAnsi="仿宋_GB2312" w:eastAsia="仿宋_GB2312" w:cs="仿宋_GB2312"/>
          <w:color w:val="FF0000"/>
          <w:sz w:val="32"/>
          <w:szCs w:val="32"/>
          <w:lang w:val="en-US" w:eastAsia="zh-CN"/>
        </w:rPr>
        <w:t>2</w:t>
      </w:r>
      <w:r>
        <w:rPr>
          <w:rFonts w:hint="eastAsia" w:ascii="仿宋_GB2312" w:hAnsi="仿宋_GB2312" w:eastAsia="仿宋_GB2312" w:cs="仿宋_GB2312"/>
          <w:color w:val="FF0000"/>
          <w:sz w:val="32"/>
          <w:szCs w:val="32"/>
        </w:rPr>
        <w:t>年全市肉羊饲养量</w:t>
      </w:r>
      <w:r>
        <w:rPr>
          <w:rFonts w:ascii="仿宋_GB2312" w:hAnsi="仿宋_GB2312" w:eastAsia="仿宋_GB2312" w:cs="仿宋_GB2312"/>
          <w:color w:val="FF0000"/>
          <w:sz w:val="32"/>
          <w:szCs w:val="32"/>
        </w:rPr>
        <w:t>2</w:t>
      </w:r>
      <w:r>
        <w:rPr>
          <w:rFonts w:hint="eastAsia" w:ascii="仿宋_GB2312" w:hAnsi="仿宋_GB2312" w:eastAsia="仿宋_GB2312" w:cs="仿宋_GB2312"/>
          <w:color w:val="FF0000"/>
          <w:sz w:val="32"/>
          <w:szCs w:val="32"/>
          <w:lang w:val="en-US" w:eastAsia="zh-CN"/>
        </w:rPr>
        <w:t>300多</w:t>
      </w:r>
      <w:r>
        <w:rPr>
          <w:rFonts w:hint="eastAsia" w:ascii="仿宋_GB2312" w:hAnsi="仿宋_GB2312" w:eastAsia="仿宋_GB2312" w:cs="仿宋_GB2312"/>
          <w:color w:val="FF0000"/>
          <w:sz w:val="32"/>
          <w:szCs w:val="32"/>
        </w:rPr>
        <w:t>万只，羊出栏</w:t>
      </w:r>
      <w:r>
        <w:rPr>
          <w:rFonts w:ascii="仿宋_GB2312" w:hAnsi="仿宋_GB2312" w:eastAsia="仿宋_GB2312" w:cs="仿宋_GB2312"/>
          <w:color w:val="FF0000"/>
          <w:sz w:val="32"/>
          <w:szCs w:val="32"/>
        </w:rPr>
        <w:t>12</w:t>
      </w:r>
      <w:r>
        <w:rPr>
          <w:rFonts w:hint="eastAsia" w:ascii="仿宋_GB2312" w:hAnsi="仿宋_GB2312" w:eastAsia="仿宋_GB2312" w:cs="仿宋_GB2312"/>
          <w:color w:val="FF0000"/>
          <w:sz w:val="32"/>
          <w:szCs w:val="32"/>
          <w:lang w:val="en-US" w:eastAsia="zh-CN"/>
        </w:rPr>
        <w:t>00多</w:t>
      </w:r>
      <w:r>
        <w:rPr>
          <w:rFonts w:hint="eastAsia" w:ascii="仿宋_GB2312" w:hAnsi="仿宋_GB2312" w:eastAsia="仿宋_GB2312" w:cs="仿宋_GB2312"/>
          <w:color w:val="FF0000"/>
          <w:sz w:val="32"/>
          <w:szCs w:val="32"/>
        </w:rPr>
        <w:t>万只，</w:t>
      </w:r>
      <w:r>
        <w:rPr>
          <w:rFonts w:hint="eastAsia" w:ascii="仿宋_GB2312" w:hAnsi="仿宋_GB2312" w:eastAsia="仿宋_GB2312" w:cs="仿宋_GB2312"/>
          <w:color w:val="FF0000"/>
          <w:sz w:val="32"/>
          <w:szCs w:val="32"/>
          <w:lang w:val="en-US" w:eastAsia="zh-CN"/>
        </w:rPr>
        <w:t>羊存栏1100多万只，</w:t>
      </w:r>
      <w:r>
        <w:rPr>
          <w:rFonts w:hint="eastAsia" w:ascii="仿宋_GB2312" w:hAnsi="仿宋_GB2312" w:eastAsia="仿宋_GB2312" w:cs="仿宋_GB2312"/>
          <w:sz w:val="32"/>
          <w:szCs w:val="32"/>
        </w:rPr>
        <w:t>出栏量稳居自治区首位。</w:t>
      </w:r>
      <w:r>
        <w:rPr>
          <w:rFonts w:hint="eastAsia" w:ascii="仿宋" w:hAnsi="仿宋" w:eastAsia="仿宋" w:cs="仿宋"/>
          <w:sz w:val="32"/>
          <w:szCs w:val="32"/>
        </w:rPr>
        <w:t>每年约有1002万只产羔母羊，可提供胚胎1000多吨，加上邻近省区的部分原料，每年可提供1700吨原料，高于项目设计规模。</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：年生产中档羊胎素1000吨，高档羊胎素500吨的羊胎素口服液,羊胎素注射液20万支，血清40吨。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：总投资1</w:t>
      </w:r>
      <w:r>
        <w:rPr>
          <w:rFonts w:hint="eastAsia" w:ascii="仿宋" w:hAnsi="仿宋" w:eastAsia="仿宋" w:cs="仿宋"/>
          <w:sz w:val="32"/>
          <w:szCs w:val="32"/>
          <w:lang w:val="en-US" w:eastAsia="zh-CN"/>
        </w:rPr>
        <w:t>.</w:t>
      </w:r>
      <w:r>
        <w:rPr>
          <w:rFonts w:hint="eastAsia" w:ascii="仿宋" w:hAnsi="仿宋" w:eastAsia="仿宋" w:cs="仿宋"/>
          <w:sz w:val="32"/>
          <w:szCs w:val="32"/>
        </w:rPr>
        <w:t>2</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rPr>
        <w:t>效益预测</w:t>
      </w:r>
      <w:r>
        <w:rPr>
          <w:rFonts w:hint="eastAsia" w:ascii="仿宋" w:hAnsi="仿宋" w:eastAsia="仿宋" w:cs="仿宋"/>
          <w:sz w:val="32"/>
          <w:szCs w:val="32"/>
        </w:rPr>
        <w:t>：年销售收入1</w:t>
      </w:r>
      <w:r>
        <w:rPr>
          <w:rFonts w:hint="eastAsia" w:ascii="仿宋" w:hAnsi="仿宋" w:eastAsia="仿宋" w:cs="仿宋"/>
          <w:sz w:val="32"/>
          <w:szCs w:val="32"/>
          <w:lang w:val="en-US" w:eastAsia="zh-CN"/>
        </w:rPr>
        <w:t>.</w:t>
      </w:r>
      <w:r>
        <w:rPr>
          <w:rFonts w:hint="eastAsia" w:ascii="仿宋" w:hAnsi="仿宋" w:eastAsia="仿宋" w:cs="仿宋"/>
          <w:sz w:val="32"/>
          <w:szCs w:val="32"/>
        </w:rPr>
        <w:t>5</w:t>
      </w:r>
      <w:r>
        <w:rPr>
          <w:rFonts w:hint="eastAsia" w:ascii="仿宋" w:hAnsi="仿宋" w:eastAsia="仿宋" w:cs="仿宋"/>
          <w:sz w:val="32"/>
          <w:szCs w:val="32"/>
          <w:lang w:eastAsia="zh-CN"/>
        </w:rPr>
        <w:t>亿</w:t>
      </w:r>
      <w:r>
        <w:rPr>
          <w:rFonts w:hint="eastAsia" w:ascii="仿宋" w:hAnsi="仿宋" w:eastAsia="仿宋" w:cs="仿宋"/>
          <w:sz w:val="32"/>
          <w:szCs w:val="32"/>
        </w:rPr>
        <w:t>元，利润</w:t>
      </w:r>
      <w:r>
        <w:rPr>
          <w:rFonts w:hint="eastAsia" w:ascii="仿宋" w:hAnsi="仿宋" w:eastAsia="仿宋" w:cs="仿宋"/>
          <w:sz w:val="32"/>
          <w:szCs w:val="32"/>
          <w:lang w:val="en-US" w:eastAsia="zh-CN"/>
        </w:rPr>
        <w:t>0.</w:t>
      </w:r>
      <w:r>
        <w:rPr>
          <w:rFonts w:hint="eastAsia" w:ascii="仿宋" w:hAnsi="仿宋" w:eastAsia="仿宋" w:cs="仿宋"/>
          <w:sz w:val="32"/>
          <w:szCs w:val="32"/>
        </w:rPr>
        <w:t>6</w:t>
      </w:r>
      <w:r>
        <w:rPr>
          <w:rFonts w:hint="eastAsia" w:ascii="仿宋" w:hAnsi="仿宋" w:eastAsia="仿宋" w:cs="仿宋"/>
          <w:sz w:val="32"/>
          <w:szCs w:val="32"/>
          <w:lang w:eastAsia="zh-CN"/>
        </w:rPr>
        <w:t>亿</w:t>
      </w:r>
      <w:r>
        <w:rPr>
          <w:rFonts w:hint="eastAsia" w:ascii="仿宋" w:hAnsi="仿宋" w:eastAsia="仿宋" w:cs="仿宋"/>
          <w:sz w:val="32"/>
          <w:szCs w:val="32"/>
        </w:rPr>
        <w:t>元</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b/>
          <w:bCs/>
          <w:sz w:val="44"/>
          <w:szCs w:val="44"/>
        </w:rPr>
      </w:pPr>
      <w:r>
        <w:rPr>
          <w:rFonts w:hint="eastAsia"/>
          <w:b/>
          <w:bCs/>
          <w:sz w:val="44"/>
          <w:szCs w:val="44"/>
          <w:lang w:val="en-US" w:eastAsia="zh-CN"/>
        </w:rPr>
        <w:t>动物</w:t>
      </w:r>
      <w:r>
        <w:rPr>
          <w:rFonts w:hint="eastAsia"/>
          <w:b/>
          <w:bCs/>
          <w:sz w:val="44"/>
          <w:szCs w:val="44"/>
        </w:rPr>
        <w:t>血红素</w:t>
      </w:r>
      <w:r>
        <w:rPr>
          <w:rFonts w:hint="eastAsia"/>
          <w:b/>
          <w:bCs/>
          <w:sz w:val="44"/>
          <w:szCs w:val="44"/>
          <w:lang w:val="en-US" w:eastAsia="zh-CN"/>
        </w:rPr>
        <w:t>提取</w:t>
      </w:r>
      <w:r>
        <w:rPr>
          <w:rFonts w:hint="eastAsia"/>
          <w:b/>
          <w:bCs/>
          <w:sz w:val="44"/>
          <w:szCs w:val="44"/>
        </w:rPr>
        <w:t>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b/>
          <w:bCs/>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畜血（包括猪、牛、羊、鸡血）是屠宰厂或肉制品加工厂生产的副产物，其中含有大量的保健功能性因子，如蛋白质、血红素、免疫球蛋白和超氧化物歧化酶（简称SOD酶）等，它们可广泛应用于医药、化妆品和保健食品等领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rPr>
        <w:t>：巴彦淖尔市畜血资源丰富，猪牛羊出栏总数达到</w:t>
      </w:r>
      <w:r>
        <w:rPr>
          <w:rFonts w:hint="eastAsia" w:ascii="仿宋" w:hAnsi="仿宋" w:eastAsia="仿宋" w:cs="仿宋"/>
          <w:sz w:val="32"/>
          <w:szCs w:val="32"/>
          <w:lang w:val="en-US" w:eastAsia="zh-CN"/>
        </w:rPr>
        <w:t>2300</w:t>
      </w:r>
      <w:r>
        <w:rPr>
          <w:rFonts w:hint="eastAsia" w:ascii="仿宋" w:hAnsi="仿宋" w:eastAsia="仿宋" w:cs="仿宋"/>
          <w:sz w:val="32"/>
          <w:szCs w:val="32"/>
        </w:rPr>
        <w:t>多万头（只），畜血总量20多万吨，如以6kg鲜血产1kg血粉，每1kg血粉按3元计，可制血粉2万吨，价值近</w:t>
      </w:r>
      <w:r>
        <w:rPr>
          <w:rFonts w:hint="eastAsia" w:ascii="仿宋" w:hAnsi="仿宋" w:eastAsia="仿宋" w:cs="仿宋"/>
          <w:sz w:val="32"/>
          <w:szCs w:val="32"/>
          <w:lang w:val="en-US" w:eastAsia="zh-CN"/>
        </w:rPr>
        <w:t>0.</w:t>
      </w:r>
      <w:r>
        <w:rPr>
          <w:rFonts w:hint="eastAsia" w:ascii="仿宋" w:hAnsi="仿宋" w:eastAsia="仿宋" w:cs="仿宋"/>
          <w:sz w:val="32"/>
          <w:szCs w:val="32"/>
        </w:rPr>
        <w:t>6</w:t>
      </w:r>
      <w:r>
        <w:rPr>
          <w:rFonts w:hint="eastAsia" w:ascii="仿宋" w:hAnsi="仿宋" w:eastAsia="仿宋" w:cs="仿宋"/>
          <w:sz w:val="32"/>
          <w:szCs w:val="32"/>
          <w:lang w:val="en-US" w:eastAsia="zh-CN"/>
        </w:rPr>
        <w:t>亿</w:t>
      </w:r>
      <w:r>
        <w:rPr>
          <w:rFonts w:hint="eastAsia" w:ascii="仿宋" w:hAnsi="仿宋" w:eastAsia="仿宋" w:cs="仿宋"/>
          <w:sz w:val="32"/>
          <w:szCs w:val="32"/>
        </w:rPr>
        <w:t>元；如果以200kg鲜血产1kg氨基酸，则价值为近1</w:t>
      </w:r>
      <w:r>
        <w:rPr>
          <w:rFonts w:hint="eastAsia" w:ascii="仿宋" w:hAnsi="仿宋" w:eastAsia="仿宋" w:cs="仿宋"/>
          <w:sz w:val="32"/>
          <w:szCs w:val="32"/>
          <w:lang w:val="en-US" w:eastAsia="zh-CN"/>
        </w:rPr>
        <w:t>亿</w:t>
      </w:r>
      <w:r>
        <w:rPr>
          <w:rFonts w:hint="eastAsia" w:ascii="仿宋" w:hAnsi="仿宋" w:eastAsia="仿宋" w:cs="仿宋"/>
          <w:sz w:val="32"/>
          <w:szCs w:val="32"/>
        </w:rPr>
        <w:t>元。如果综合加工成食品添加剂、医药产品，如：凝血酶、血红蛋白、SOD、氨基酸口服液、血肽素胶囊、血色素、免疫球蛋白、原卟啉钠、血卟啉衍生物、球蛋白、血清素、免疫血清、水解蛋白等，经济效益将成几十倍甚至百倍的提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：年产超氧化物歧化酶150亿酶单位、血红素2吨。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sz w:val="32"/>
          <w:szCs w:val="32"/>
        </w:rPr>
        <w:t>：总投资</w:t>
      </w:r>
      <w:r>
        <w:rPr>
          <w:rFonts w:hint="eastAsia" w:ascii="仿宋" w:hAnsi="仿宋" w:eastAsia="仿宋" w:cs="仿宋"/>
          <w:sz w:val="32"/>
          <w:szCs w:val="32"/>
          <w:lang w:val="en-US" w:eastAsia="zh-CN"/>
        </w:rPr>
        <w:t>0.</w:t>
      </w:r>
      <w:r>
        <w:rPr>
          <w:rFonts w:hint="eastAsia" w:ascii="仿宋" w:hAnsi="仿宋" w:eastAsia="仿宋" w:cs="仿宋"/>
          <w:sz w:val="32"/>
          <w:szCs w:val="32"/>
        </w:rPr>
        <w:t>42</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效益预测</w:t>
      </w:r>
      <w:r>
        <w:rPr>
          <w:rFonts w:hint="eastAsia" w:ascii="仿宋" w:hAnsi="仿宋" w:eastAsia="仿宋" w:cs="仿宋"/>
          <w:sz w:val="32"/>
          <w:szCs w:val="32"/>
        </w:rPr>
        <w:t>：销售收入</w:t>
      </w:r>
      <w:r>
        <w:rPr>
          <w:rFonts w:hint="eastAsia" w:ascii="仿宋" w:hAnsi="仿宋" w:eastAsia="仿宋" w:cs="仿宋"/>
          <w:sz w:val="32"/>
          <w:szCs w:val="32"/>
          <w:lang w:val="en-US" w:eastAsia="zh-CN"/>
        </w:rPr>
        <w:t>0.</w:t>
      </w:r>
      <w:r>
        <w:rPr>
          <w:rFonts w:hint="eastAsia" w:ascii="仿宋" w:hAnsi="仿宋" w:eastAsia="仿宋" w:cs="仿宋"/>
          <w:sz w:val="32"/>
          <w:szCs w:val="32"/>
        </w:rPr>
        <w:t>56</w:t>
      </w:r>
      <w:r>
        <w:rPr>
          <w:rFonts w:hint="eastAsia" w:ascii="仿宋" w:hAnsi="仿宋" w:eastAsia="仿宋" w:cs="仿宋"/>
          <w:sz w:val="32"/>
          <w:szCs w:val="32"/>
          <w:lang w:eastAsia="zh-CN"/>
        </w:rPr>
        <w:t>亿</w:t>
      </w:r>
      <w:r>
        <w:rPr>
          <w:rFonts w:hint="eastAsia" w:ascii="仿宋" w:hAnsi="仿宋" w:eastAsia="仿宋" w:cs="仿宋"/>
          <w:sz w:val="32"/>
          <w:szCs w:val="32"/>
        </w:rPr>
        <w:t>元，利税</w:t>
      </w:r>
      <w:r>
        <w:rPr>
          <w:rFonts w:hint="eastAsia" w:ascii="仿宋" w:hAnsi="仿宋" w:eastAsia="仿宋" w:cs="仿宋"/>
          <w:sz w:val="32"/>
          <w:szCs w:val="32"/>
          <w:lang w:val="en-US" w:eastAsia="zh-CN"/>
        </w:rPr>
        <w:t>0.</w:t>
      </w:r>
      <w:r>
        <w:rPr>
          <w:rFonts w:hint="eastAsia" w:ascii="仿宋" w:hAnsi="仿宋" w:eastAsia="仿宋" w:cs="仿宋"/>
          <w:sz w:val="32"/>
          <w:szCs w:val="32"/>
        </w:rPr>
        <w:t>16</w:t>
      </w:r>
      <w:r>
        <w:rPr>
          <w:rFonts w:hint="eastAsia" w:ascii="仿宋" w:hAnsi="仿宋" w:eastAsia="仿宋" w:cs="仿宋"/>
          <w:sz w:val="32"/>
          <w:szCs w:val="32"/>
          <w:lang w:eastAsia="zh-CN"/>
        </w:rPr>
        <w:t>亿</w:t>
      </w:r>
      <w:r>
        <w:rPr>
          <w:rFonts w:hint="eastAsia" w:ascii="仿宋" w:hAnsi="仿宋" w:eastAsia="仿宋" w:cs="仿宋"/>
          <w:sz w:val="32"/>
          <w:szCs w:val="32"/>
        </w:rPr>
        <w:t>元</w:t>
      </w:r>
    </w:p>
    <w:p>
      <w:pPr>
        <w:spacing w:line="400" w:lineRule="exact"/>
        <w:rPr>
          <w:rFonts w:hint="eastAsia" w:ascii="仿宋" w:hAnsi="仿宋" w:eastAsia="仿宋"/>
          <w:bCs/>
          <w:sz w:val="32"/>
          <w:szCs w:val="32"/>
        </w:rPr>
      </w:pPr>
      <w:r>
        <w:rPr>
          <w:rFonts w:hint="eastAsia" w:ascii="仿宋" w:hAnsi="仿宋" w:eastAsia="仿宋"/>
          <w:b/>
          <w:bCs/>
          <w:sz w:val="32"/>
          <w:szCs w:val="32"/>
        </w:rPr>
        <w:t>合作方式：</w:t>
      </w:r>
      <w:r>
        <w:rPr>
          <w:rFonts w:hint="eastAsia" w:ascii="仿宋" w:hAnsi="仿宋" w:eastAsia="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default" w:ascii="仿宋" w:hAnsi="仿宋" w:eastAsia="仿宋"/>
          <w:sz w:val="32"/>
          <w:szCs w:val="32"/>
          <w:lang w:val="en-US" w:eastAsia="zh-CN"/>
        </w:rPr>
      </w:pPr>
      <w:r>
        <w:rPr>
          <w:rFonts w:hint="eastAsia" w:ascii="仿宋" w:hAnsi="仿宋" w:eastAsia="仿宋"/>
          <w:b/>
          <w:bCs/>
          <w:sz w:val="32"/>
          <w:szCs w:val="32"/>
          <w:lang w:val="en-US" w:eastAsia="zh-CN"/>
        </w:rPr>
        <w:t>联系地址</w:t>
      </w:r>
      <w:r>
        <w:rPr>
          <w:rFonts w:hint="eastAsia" w:ascii="仿宋" w:hAnsi="仿宋" w:eastAsia="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default" w:ascii="仿宋" w:hAnsi="仿宋" w:eastAsia="仿宋"/>
          <w:b w:val="0"/>
          <w:bCs w:val="0"/>
          <w:sz w:val="32"/>
          <w:szCs w:val="32"/>
          <w:lang w:val="en-US"/>
        </w:rPr>
      </w:pPr>
      <w:r>
        <w:rPr>
          <w:rFonts w:hint="eastAsia" w:ascii="仿宋" w:hAnsi="仿宋" w:eastAsia="仿宋"/>
          <w:b/>
          <w:bCs/>
          <w:sz w:val="32"/>
          <w:szCs w:val="32"/>
        </w:rPr>
        <w:t>联 系 人</w:t>
      </w:r>
      <w:r>
        <w:rPr>
          <w:rFonts w:hint="eastAsia" w:ascii="仿宋" w:hAnsi="仿宋" w:eastAsia="仿宋"/>
          <w:b/>
          <w:bCs/>
          <w:sz w:val="32"/>
          <w:szCs w:val="32"/>
          <w:lang w:eastAsia="zh-CN"/>
        </w:rPr>
        <w:t>：</w:t>
      </w:r>
      <w:r>
        <w:rPr>
          <w:rFonts w:hint="eastAsia" w:ascii="仿宋" w:hAnsi="仿宋" w:eastAsia="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bCs/>
          <w:sz w:val="32"/>
          <w:szCs w:val="32"/>
        </w:rPr>
        <w:t>联系电话</w:t>
      </w:r>
      <w:r>
        <w:rPr>
          <w:rFonts w:hint="eastAsia" w:ascii="仿宋" w:hAnsi="仿宋" w:eastAsia="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 xml:space="preserve"> 0478-85</w:t>
      </w:r>
      <w:r>
        <w:rPr>
          <w:rFonts w:hint="eastAsia" w:ascii="仿宋" w:hAnsi="仿宋" w:eastAsia="仿宋"/>
          <w:sz w:val="32"/>
          <w:szCs w:val="32"/>
          <w:lang w:val="en-US" w:eastAsia="zh-CN"/>
        </w:rPr>
        <w:t>2</w:t>
      </w:r>
      <w:r>
        <w:rPr>
          <w:rFonts w:hint="eastAsia" w:ascii="仿宋" w:hAnsi="仿宋" w:eastAsia="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right="0" w:rightChars="0" w:firstLine="0" w:firstLineChars="0"/>
        <w:jc w:val="both"/>
        <w:textAlignment w:val="auto"/>
        <w:outlineLvl w:val="9"/>
        <w:rPr>
          <w:rFonts w:hint="eastAsia" w:ascii="仿宋" w:hAnsi="仿宋" w:eastAsia="仿宋"/>
          <w:sz w:val="32"/>
          <w:szCs w:val="32"/>
        </w:rPr>
      </w:pPr>
      <w:r>
        <w:rPr>
          <w:rFonts w:hint="eastAsia" w:ascii="仿宋" w:hAnsi="仿宋" w:eastAsia="仿宋"/>
          <w:b/>
          <w:bCs/>
          <w:sz w:val="32"/>
          <w:szCs w:val="32"/>
        </w:rPr>
        <w:t>邮</w:t>
      </w:r>
      <w:r>
        <w:rPr>
          <w:rFonts w:hint="eastAsia" w:ascii="仿宋" w:hAnsi="仿宋" w:eastAsia="仿宋"/>
          <w:b/>
          <w:bCs/>
          <w:sz w:val="32"/>
          <w:szCs w:val="32"/>
          <w:lang w:val="en-US" w:eastAsia="zh-CN"/>
        </w:rPr>
        <w:t xml:space="preserve">    </w:t>
      </w:r>
      <w:r>
        <w:rPr>
          <w:rFonts w:hint="eastAsia" w:ascii="仿宋" w:hAnsi="仿宋" w:eastAsia="仿宋"/>
          <w:b/>
          <w:bCs/>
          <w:sz w:val="32"/>
          <w:szCs w:val="32"/>
        </w:rPr>
        <w:t>箱:</w:t>
      </w:r>
      <w:r>
        <w:rPr>
          <w:rFonts w:hint="eastAsia" w:ascii="仿宋" w:hAnsi="仿宋" w:eastAsia="仿宋"/>
          <w:b/>
          <w:bCs/>
          <w:sz w:val="32"/>
          <w:szCs w:val="32"/>
          <w:lang w:val="en-US" w:eastAsia="zh-CN"/>
        </w:rPr>
        <w:t xml:space="preserve"> </w:t>
      </w:r>
      <w:r>
        <w:rPr>
          <w:rFonts w:hint="eastAsia" w:ascii="仿宋" w:hAnsi="仿宋" w:eastAsia="仿宋"/>
          <w:sz w:val="32"/>
          <w:szCs w:val="32"/>
        </w:rPr>
        <w:t xml:space="preserve">linhezs@163.com    </w:t>
      </w:r>
    </w:p>
    <w:p>
      <w:pPr>
        <w:jc w:val="left"/>
        <w:rPr>
          <w:rFonts w:hint="eastAsia" w:ascii="仿宋" w:hAnsi="仿宋" w:eastAsia="仿宋" w:cs="仿宋"/>
          <w:b/>
          <w:bCs/>
          <w:sz w:val="32"/>
          <w:szCs w:val="32"/>
          <w:lang w:val="en-US" w:eastAsia="zh-CN"/>
        </w:rPr>
      </w:pPr>
    </w:p>
    <w:p>
      <w:pPr>
        <w:rPr>
          <w:rFonts w:hint="eastAsia"/>
          <w:lang w:val="en-US" w:eastAsia="zh-CN"/>
        </w:rPr>
      </w:pPr>
    </w:p>
    <w:p>
      <w:pPr>
        <w:jc w:val="center"/>
        <w:rPr>
          <w:rFonts w:hint="eastAsia" w:ascii="宋体" w:hAnsi="宋体"/>
          <w:b/>
          <w:sz w:val="44"/>
          <w:szCs w:val="44"/>
        </w:rPr>
      </w:pPr>
    </w:p>
    <w:p>
      <w:pPr>
        <w:jc w:val="center"/>
        <w:rPr>
          <w:rFonts w:hint="eastAsia" w:ascii="仿宋" w:hAnsi="仿宋" w:eastAsia="仿宋" w:cs="仿宋"/>
          <w:b/>
          <w:bCs/>
          <w:sz w:val="44"/>
          <w:szCs w:val="44"/>
        </w:rPr>
      </w:pPr>
      <w:r>
        <w:rPr>
          <w:rFonts w:hint="eastAsia" w:ascii="宋体" w:hAnsi="宋体"/>
          <w:b/>
          <w:sz w:val="44"/>
          <w:szCs w:val="44"/>
        </w:rPr>
        <w:t>无污染皮革项目</w:t>
      </w:r>
    </w:p>
    <w:p>
      <w:pPr>
        <w:jc w:val="left"/>
        <w:rPr>
          <w:rFonts w:hint="eastAsia" w:ascii="仿宋" w:hAnsi="仿宋" w:eastAsia="仿宋" w:cs="仿宋"/>
          <w:b/>
          <w:bCs/>
          <w:sz w:val="32"/>
          <w:szCs w:val="32"/>
        </w:rPr>
      </w:pPr>
    </w:p>
    <w:p>
      <w:pPr>
        <w:numPr>
          <w:ilvl w:val="0"/>
          <w:numId w:val="0"/>
        </w:numPr>
        <w:jc w:val="left"/>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default" w:ascii="仿宋" w:hAnsi="仿宋" w:eastAsia="仿宋" w:cs="仿宋"/>
          <w:b w:val="0"/>
          <w:bCs w:val="0"/>
          <w:sz w:val="32"/>
          <w:szCs w:val="32"/>
          <w:lang w:val="en-US" w:eastAsia="zh-CN"/>
        </w:rPr>
        <w:t>依托羊皮、羊毛、羊绒“三羊”产业优势，大力引进生态皮革制造、皮鞋服装设计加工、制纱纺纱印染、机械设备制造等龙头企业，打造鞋服制造基地建设。</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国内房地产和汽车等行业的发展，带动家具皮革、汽车革等皮革制品的旺盛需求，随着未来消费需求进一步提升，将继续拉动行业强劲发展。目前，我国皮革产品产量已居世界第一，国际市场占有率超过50%。</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制革是一个把肉类产业的无用物生皮通过鞣制变成革的过程，在每一个阶段，都会使用各种各样的化学药品，同时排放一系列废物，因此，传统制革对环境的污染很大。为支持制革行业的快速、健康发展，国家、地方相继出台了一系列的产业政策。无污染皮革项目的出现响应了国家对生态环保的号召，未来前景光明，发展势头良好。</w:t>
      </w:r>
    </w:p>
    <w:p>
      <w:pPr>
        <w:spacing w:line="5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巴彦淖尔市及周边地区动物皮革来源丰富。巴彦淖尔市北部为广阔的天然牧场，面积30600多平方公里，约占全市总面积的47%，盛产牛、马、羊、骆驼等。</w:t>
      </w:r>
      <w:r>
        <w:rPr>
          <w:rFonts w:hint="eastAsia" w:ascii="仿宋_GB2312" w:hAnsi="仿宋_GB2312" w:eastAsia="仿宋_GB2312" w:cs="仿宋_GB2312"/>
          <w:color w:val="FF0000"/>
          <w:sz w:val="32"/>
          <w:szCs w:val="32"/>
          <w:highlight w:val="none"/>
          <w:lang w:val="en-US" w:eastAsia="zh-CN"/>
        </w:rPr>
        <w:t>2022年全市肉羊饲养量2300多万只，羊存栏1100多万只、出栏1200多万只，出栏量居自治区首位。</w:t>
      </w:r>
      <w:r>
        <w:rPr>
          <w:rFonts w:hint="eastAsia" w:ascii="仿宋" w:hAnsi="仿宋" w:eastAsia="仿宋" w:cs="仿宋"/>
          <w:sz w:val="32"/>
          <w:szCs w:val="32"/>
        </w:rPr>
        <w:t>巴彦淖尔市南邻鄂尔多斯市，也是动物皮革产区</w:t>
      </w:r>
      <w:r>
        <w:rPr>
          <w:rFonts w:hint="eastAsia" w:ascii="仿宋" w:hAnsi="仿宋" w:eastAsia="仿宋" w:cs="仿宋"/>
          <w:sz w:val="32"/>
          <w:szCs w:val="32"/>
          <w:lang w:eastAsia="zh-CN"/>
        </w:rPr>
        <w:t>。</w:t>
      </w:r>
      <w:r>
        <w:rPr>
          <w:rFonts w:hint="eastAsia" w:ascii="仿宋" w:hAnsi="仿宋" w:eastAsia="仿宋" w:cs="仿宋"/>
          <w:sz w:val="32"/>
          <w:szCs w:val="32"/>
        </w:rPr>
        <w:t>另外，巴彦淖尔市北边是蒙古国南戈壁省的牧区，通过甘其毛都口岸，可进口牛羊皮到中国。</w:t>
      </w:r>
    </w:p>
    <w:p>
      <w:pPr>
        <w:spacing w:line="52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：本无污染皮革项目年产量为1000万张，可提供就业岗位300个。</w:t>
      </w:r>
      <w:r>
        <w:rPr>
          <w:rFonts w:hint="eastAsia" w:ascii="仿宋" w:hAnsi="仿宋" w:eastAsia="仿宋" w:cs="仿宋"/>
          <w:sz w:val="32"/>
          <w:szCs w:val="32"/>
          <w:lang w:val="en-US" w:eastAsia="zh-CN"/>
        </w:rPr>
        <w:t>主要原料为</w:t>
      </w:r>
      <w:r>
        <w:rPr>
          <w:rFonts w:hint="eastAsia" w:ascii="仿宋" w:hAnsi="仿宋" w:eastAsia="仿宋" w:cs="仿宋"/>
          <w:sz w:val="32"/>
          <w:szCs w:val="32"/>
        </w:rPr>
        <w:t>猪皮、牛皮和羊皮，凯斯白鞣剂KASTANO DC</w:t>
      </w:r>
    </w:p>
    <w:p>
      <w:p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
          <w:kern w:val="0"/>
          <w:sz w:val="32"/>
          <w:szCs w:val="32"/>
        </w:rPr>
        <w:t>项目总投资</w:t>
      </w:r>
      <w:r>
        <w:rPr>
          <w:rFonts w:hint="eastAsia" w:ascii="仿宋" w:hAnsi="仿宋" w:eastAsia="仿宋" w:cs="仿宋"/>
          <w:kern w:val="0"/>
          <w:sz w:val="32"/>
          <w:szCs w:val="32"/>
          <w:lang w:val="en-US" w:eastAsia="zh-CN"/>
        </w:rPr>
        <w:t>40亿元，</w:t>
      </w:r>
    </w:p>
    <w:p>
      <w:p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rPr>
        <w:t>效益预测</w:t>
      </w:r>
      <w:r>
        <w:rPr>
          <w:rFonts w:hint="eastAsia" w:ascii="仿宋" w:hAnsi="仿宋" w:eastAsia="仿宋" w:cs="仿宋"/>
          <w:sz w:val="32"/>
          <w:szCs w:val="32"/>
        </w:rPr>
        <w:t>：</w:t>
      </w:r>
      <w:r>
        <w:rPr>
          <w:rFonts w:hint="eastAsia" w:ascii="仿宋" w:hAnsi="仿宋" w:eastAsia="仿宋" w:cs="仿宋"/>
          <w:kern w:val="0"/>
          <w:sz w:val="32"/>
          <w:szCs w:val="32"/>
        </w:rPr>
        <w:t>营业收入</w:t>
      </w:r>
      <w:r>
        <w:rPr>
          <w:rFonts w:hint="eastAsia" w:ascii="仿宋" w:hAnsi="仿宋" w:eastAsia="仿宋" w:cs="仿宋"/>
          <w:kern w:val="0"/>
          <w:sz w:val="32"/>
          <w:szCs w:val="32"/>
          <w:lang w:val="en-US" w:eastAsia="zh-CN"/>
        </w:rPr>
        <w:t>30亿元，</w:t>
      </w:r>
      <w:r>
        <w:rPr>
          <w:rFonts w:hint="eastAsia" w:ascii="仿宋" w:hAnsi="仿宋" w:eastAsia="仿宋" w:cs="仿宋"/>
          <w:kern w:val="0"/>
          <w:sz w:val="32"/>
          <w:szCs w:val="32"/>
        </w:rPr>
        <w:t>净利润</w:t>
      </w:r>
      <w:r>
        <w:rPr>
          <w:rFonts w:hint="eastAsia" w:ascii="仿宋" w:hAnsi="仿宋" w:eastAsia="仿宋" w:cs="仿宋"/>
          <w:kern w:val="0"/>
          <w:sz w:val="32"/>
          <w:szCs w:val="32"/>
          <w:lang w:val="en-US" w:eastAsia="zh-CN"/>
        </w:rPr>
        <w:t>2亿元。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jc w:val="left"/>
        <w:rPr>
          <w:rFonts w:hint="eastAsia" w:ascii="仿宋" w:hAnsi="仿宋" w:eastAsia="仿宋" w:cs="仿宋"/>
          <w:b/>
          <w:bCs/>
          <w:sz w:val="32"/>
          <w:szCs w:val="32"/>
          <w:lang w:val="en-US" w:eastAsia="zh-CN"/>
        </w:rPr>
      </w:pPr>
    </w:p>
    <w:p>
      <w:pPr>
        <w:keepNext w:val="0"/>
        <w:keepLines w:val="0"/>
        <w:pageBreakBefore w:val="0"/>
        <w:kinsoku/>
        <w:wordWrap/>
        <w:overflowPunct/>
        <w:topLinePunct w:val="0"/>
        <w:autoSpaceDE/>
        <w:autoSpaceDN/>
        <w:bidi w:val="0"/>
        <w:adjustRightInd/>
        <w:spacing w:line="540" w:lineRule="exact"/>
        <w:ind w:left="0" w:leftChars="0" w:right="0" w:rightChars="0" w:firstLine="0" w:firstLineChars="0"/>
        <w:jc w:val="both"/>
        <w:textAlignment w:val="auto"/>
        <w:outlineLvl w:val="9"/>
        <w:rPr>
          <w:rFonts w:hint="eastAsia" w:ascii="宋体" w:hAnsi="宋体" w:eastAsia="宋体" w:cs="宋体"/>
          <w:b/>
          <w:bCs/>
          <w:sz w:val="44"/>
          <w:szCs w:val="44"/>
        </w:rPr>
      </w:pPr>
    </w:p>
    <w:p>
      <w:pPr>
        <w:keepNext w:val="0"/>
        <w:keepLines w:val="0"/>
        <w:pageBreakBefore w:val="0"/>
        <w:kinsoku/>
        <w:wordWrap/>
        <w:overflowPunct/>
        <w:topLinePunct w:val="0"/>
        <w:autoSpaceDE/>
        <w:autoSpaceDN/>
        <w:bidi w:val="0"/>
        <w:adjustRightIn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p>
    <w:p>
      <w:pPr>
        <w:keepNext w:val="0"/>
        <w:keepLines w:val="0"/>
        <w:pageBreakBefore w:val="0"/>
        <w:kinsoku/>
        <w:wordWrap/>
        <w:overflowPunct/>
        <w:topLinePunct w:val="0"/>
        <w:autoSpaceDE/>
        <w:autoSpaceDN/>
        <w:bidi w:val="0"/>
        <w:adjustRightInd/>
        <w:spacing w:line="540" w:lineRule="exact"/>
        <w:ind w:left="0" w:leftChars="0" w:right="0" w:rightChars="0" w:firstLine="0" w:firstLineChars="0"/>
        <w:jc w:val="center"/>
        <w:textAlignment w:val="auto"/>
        <w:outlineLvl w:val="9"/>
        <w:rPr>
          <w:rFonts w:hint="eastAsia" w:ascii="仿宋" w:hAnsi="仿宋" w:eastAsia="仿宋" w:cs="仿宋"/>
          <w:b/>
          <w:bCs/>
          <w:sz w:val="32"/>
          <w:szCs w:val="32"/>
        </w:rPr>
      </w:pPr>
      <w:r>
        <w:rPr>
          <w:rFonts w:hint="eastAsia" w:ascii="宋体" w:hAnsi="宋体" w:eastAsia="宋体" w:cs="宋体"/>
          <w:b/>
          <w:bCs/>
          <w:sz w:val="44"/>
          <w:szCs w:val="44"/>
        </w:rPr>
        <w:t>年产2万吨生物农药项目</w:t>
      </w:r>
    </w:p>
    <w:p>
      <w:pPr>
        <w:jc w:val="left"/>
        <w:rPr>
          <w:rFonts w:hint="eastAsia" w:ascii="仿宋" w:hAnsi="仿宋" w:eastAsia="仿宋" w:cs="仿宋"/>
          <w:b/>
          <w:bCs/>
          <w:sz w:val="32"/>
          <w:szCs w:val="32"/>
        </w:rPr>
      </w:pPr>
    </w:p>
    <w:p>
      <w:pPr>
        <w:keepNext w:val="0"/>
        <w:keepLines w:val="0"/>
        <w:pageBreakBefore w:val="0"/>
        <w:kinsoku/>
        <w:wordWrap/>
        <w:overflowPunct/>
        <w:topLinePunct w:val="0"/>
        <w:autoSpaceDE/>
        <w:autoSpaceDN/>
        <w:bidi w:val="0"/>
        <w:adjustRightInd/>
        <w:spacing w:line="540" w:lineRule="exact"/>
        <w:ind w:left="0" w:leftChars="0" w:right="0" w:rightChars="0" w:firstLine="0" w:firstLineChars="0"/>
        <w:textAlignment w:val="auto"/>
        <w:outlineLvl w:val="9"/>
        <w:rPr>
          <w:rFonts w:hint="eastAsia" w:ascii="仿宋_GB2312" w:hAnsi="Batang" w:eastAsia="仿宋_GB2312"/>
          <w:sz w:val="30"/>
          <w:szCs w:val="30"/>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ascii="仿宋_GB2312" w:hAnsi="Batang" w:eastAsia="仿宋_GB2312"/>
          <w:sz w:val="30"/>
          <w:szCs w:val="30"/>
        </w:rPr>
        <w:t>我国是农业大国，对农药的需求量很大，但目前应用的化学农药给环境造成了非常大的污染，高毒、高残留对农作物的危害非常大，</w:t>
      </w:r>
      <w:r>
        <w:rPr>
          <w:rFonts w:hint="eastAsia" w:ascii="仿宋_GB2312" w:hAnsi="Batang" w:eastAsia="仿宋_GB2312"/>
          <w:sz w:val="30"/>
          <w:szCs w:val="30"/>
        </w:rPr>
        <w:t>根据农业可持续发展战略和无公害食品行动计划，生物农药的需求量越来越大，市场前景广阔。</w:t>
      </w:r>
    </w:p>
    <w:p>
      <w:pPr>
        <w:keepNext w:val="0"/>
        <w:keepLines w:val="0"/>
        <w:pageBreakBefore w:val="0"/>
        <w:kinsoku/>
        <w:wordWrap/>
        <w:overflowPunct/>
        <w:topLinePunct w:val="0"/>
        <w:autoSpaceDE/>
        <w:autoSpaceDN/>
        <w:bidi w:val="0"/>
        <w:adjustRightInd/>
        <w:snapToGrid w:val="0"/>
        <w:spacing w:line="540" w:lineRule="exact"/>
        <w:ind w:left="0" w:leftChars="0" w:right="0" w:rightChars="0" w:firstLine="600" w:firstLineChars="200"/>
        <w:textAlignment w:val="auto"/>
        <w:outlineLvl w:val="9"/>
        <w:rPr>
          <w:rFonts w:hint="eastAsia" w:ascii="仿宋_GB2312" w:hAnsi="Batang" w:eastAsia="仿宋_GB2312"/>
          <w:sz w:val="30"/>
          <w:szCs w:val="30"/>
          <w:lang w:val="en-US" w:eastAsia="zh-CN"/>
        </w:rPr>
      </w:pPr>
      <w:r>
        <w:rPr>
          <w:rFonts w:hint="eastAsia" w:ascii="仿宋_GB2312" w:hAnsi="Batang" w:eastAsia="仿宋_GB2312"/>
          <w:sz w:val="30"/>
          <w:szCs w:val="30"/>
        </w:rPr>
        <w:t>巴彦淖尔市地处祖国北部边疆，位于内蒙古自治区西部，全市总面积6.</w:t>
      </w:r>
      <w:r>
        <w:rPr>
          <w:rFonts w:hint="eastAsia" w:ascii="仿宋_GB2312" w:hAnsi="Batang" w:eastAsia="仿宋_GB2312"/>
          <w:sz w:val="30"/>
          <w:szCs w:val="30"/>
          <w:lang w:val="en-US" w:eastAsia="zh-CN"/>
        </w:rPr>
        <w:t>5</w:t>
      </w:r>
      <w:r>
        <w:rPr>
          <w:rFonts w:hint="eastAsia" w:ascii="仿宋_GB2312" w:hAnsi="Batang" w:eastAsia="仿宋_GB2312"/>
          <w:sz w:val="30"/>
          <w:szCs w:val="30"/>
        </w:rPr>
        <w:t>万平方公里，套区有可耕地1100万亩，是我国重要的粮</w:t>
      </w:r>
      <w:r>
        <w:rPr>
          <w:rFonts w:hint="eastAsia" w:ascii="仿宋_GB2312" w:hAnsi="Batang" w:eastAsia="仿宋_GB2312"/>
          <w:sz w:val="30"/>
          <w:szCs w:val="30"/>
          <w:lang w:val="en-US" w:eastAsia="zh-CN"/>
        </w:rPr>
        <w:t>.</w:t>
      </w:r>
      <w:r>
        <w:rPr>
          <w:rFonts w:hint="eastAsia" w:ascii="仿宋_GB2312" w:hAnsi="Batang" w:eastAsia="仿宋_GB2312"/>
          <w:sz w:val="30"/>
          <w:szCs w:val="30"/>
        </w:rPr>
        <w:t>油</w:t>
      </w:r>
      <w:r>
        <w:rPr>
          <w:rFonts w:hint="eastAsia" w:ascii="仿宋_GB2312" w:hAnsi="Batang" w:eastAsia="仿宋_GB2312"/>
          <w:sz w:val="30"/>
          <w:szCs w:val="30"/>
          <w:lang w:val="en-US" w:eastAsia="zh-CN"/>
        </w:rPr>
        <w:t>.</w:t>
      </w:r>
      <w:r>
        <w:rPr>
          <w:rFonts w:hint="eastAsia" w:ascii="仿宋_GB2312" w:hAnsi="Batang" w:eastAsia="仿宋_GB2312"/>
          <w:sz w:val="30"/>
          <w:szCs w:val="30"/>
        </w:rPr>
        <w:t>糖产地，这里土地肥沃，灌溉便利，昼夜温差大，日照充足，盛产河套优质小麦、玉米、葵花籽（包括油葵）、苹果梨、蕃茄、蜜瓜、枸杞、黑白瓜籽等优质农产品，北部为乌拉特草原，地域辽阔，畜牧业发达，盛产肉、奶、蛋、皮、毛、绒等优质畜产品。临河区电力充足、水资源丰富,具有良好的交通区位优势、基础设施日臻完善，是建设项目的理想之地。</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0" w:firstLineChars="0"/>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_GB2312" w:hAnsi="Batang" w:eastAsia="仿宋_GB2312"/>
          <w:sz w:val="30"/>
          <w:szCs w:val="30"/>
        </w:rPr>
        <w:t>引进生物农药知名品牌，建设年产生物农药2万吨，副产生物肥料8万吨项目</w:t>
      </w:r>
    </w:p>
    <w:p>
      <w:pPr>
        <w:keepNext w:val="0"/>
        <w:keepLines w:val="0"/>
        <w:pageBreakBefore w:val="0"/>
        <w:kinsoku/>
        <w:wordWrap/>
        <w:overflowPunct/>
        <w:topLinePunct w:val="0"/>
        <w:autoSpaceDE/>
        <w:autoSpaceDN/>
        <w:bidi w:val="0"/>
        <w:adjustRightInd/>
        <w:snapToGrid/>
        <w:spacing w:beforeAutospacing="0" w:afterAutospacing="0" w:line="540" w:lineRule="exact"/>
        <w:ind w:left="0" w:leftChars="0" w:right="0" w:rightChars="0" w:firstLine="0" w:firstLineChars="0"/>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_GB2312" w:hAnsi="宋体" w:eastAsia="仿宋_GB2312" w:cs="宋体"/>
          <w:kern w:val="0"/>
          <w:sz w:val="32"/>
          <w:szCs w:val="32"/>
        </w:rPr>
        <w:t>总投资</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9</w:t>
      </w:r>
      <w:r>
        <w:rPr>
          <w:rFonts w:hint="eastAsia" w:ascii="仿宋_GB2312" w:hAnsi="宋体" w:eastAsia="仿宋_GB2312" w:cs="宋体"/>
          <w:kern w:val="0"/>
          <w:sz w:val="32"/>
          <w:szCs w:val="32"/>
          <w:lang w:eastAsia="zh-CN"/>
        </w:rPr>
        <w:t>亿</w:t>
      </w:r>
      <w:r>
        <w:rPr>
          <w:rFonts w:hint="eastAsia" w:ascii="仿宋_GB2312" w:hAnsi="宋体" w:eastAsia="仿宋_GB2312" w:cs="宋体"/>
          <w:kern w:val="0"/>
          <w:sz w:val="32"/>
          <w:szCs w:val="32"/>
        </w:rPr>
        <w:t>元</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left="0" w:leftChars="0" w:right="0" w:rightChars="0" w:firstLine="0" w:firstLineChars="0"/>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效益预测</w:t>
      </w:r>
      <w:r>
        <w:rPr>
          <w:rFonts w:hint="eastAsia" w:ascii="仿宋" w:hAnsi="仿宋" w:eastAsia="仿宋" w:cs="仿宋"/>
          <w:sz w:val="32"/>
          <w:szCs w:val="32"/>
        </w:rPr>
        <w:t>：</w:t>
      </w:r>
      <w:r>
        <w:rPr>
          <w:rFonts w:hint="eastAsia" w:ascii="仿宋_GB2312" w:hAnsi="宋体" w:eastAsia="仿宋_GB2312" w:cs="宋体"/>
          <w:kern w:val="0"/>
          <w:sz w:val="32"/>
          <w:szCs w:val="32"/>
        </w:rPr>
        <w:t>年销售收入1</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rPr>
        <w:t>4</w:t>
      </w:r>
      <w:r>
        <w:rPr>
          <w:rFonts w:hint="eastAsia" w:ascii="仿宋_GB2312" w:hAnsi="宋体" w:eastAsia="仿宋_GB2312" w:cs="宋体"/>
          <w:kern w:val="0"/>
          <w:sz w:val="32"/>
          <w:szCs w:val="32"/>
          <w:lang w:eastAsia="zh-CN"/>
        </w:rPr>
        <w:t>亿</w:t>
      </w:r>
      <w:r>
        <w:rPr>
          <w:rFonts w:hint="eastAsia" w:ascii="仿宋_GB2312" w:hAnsi="宋体" w:eastAsia="仿宋_GB2312" w:cs="宋体"/>
          <w:kern w:val="0"/>
          <w:sz w:val="32"/>
          <w:szCs w:val="32"/>
        </w:rPr>
        <w:t>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left"/>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ascii="宋体" w:hAnsi="宋体" w:eastAsia="宋体" w:cs="Times New Roman"/>
          <w:b/>
          <w:bCs/>
          <w:color w:val="auto"/>
          <w:kern w:val="2"/>
          <w:sz w:val="44"/>
          <w:szCs w:val="44"/>
          <w:lang w:val="zh-CN" w:eastAsia="zh-CN" w:bidi="ar-SA"/>
        </w:rPr>
      </w:pPr>
      <w:r>
        <w:rPr>
          <w:rFonts w:hint="eastAsia" w:ascii="宋体" w:hAnsi="宋体" w:eastAsia="宋体" w:cs="Times New Roman"/>
          <w:b/>
          <w:bCs/>
          <w:color w:val="auto"/>
          <w:kern w:val="2"/>
          <w:sz w:val="44"/>
          <w:szCs w:val="44"/>
          <w:lang w:val="zh-CN" w:eastAsia="zh-CN" w:bidi="ar-SA"/>
        </w:rPr>
        <w:t>口蹄疫（悬浮）</w:t>
      </w:r>
      <w:r>
        <w:rPr>
          <w:rFonts w:ascii="宋体" w:hAnsi="宋体" w:eastAsia="宋体" w:cs="Times New Roman"/>
          <w:b/>
          <w:bCs/>
          <w:color w:val="auto"/>
          <w:kern w:val="2"/>
          <w:sz w:val="44"/>
          <w:szCs w:val="44"/>
          <w:lang w:val="zh-CN" w:eastAsia="zh-CN" w:bidi="ar-SA"/>
        </w:rPr>
        <w:t xml:space="preserve"> 牛、羊、猪疫苗项目</w:t>
      </w:r>
    </w:p>
    <w:p>
      <w:pPr>
        <w:pStyle w:val="15"/>
        <w:rPr>
          <w:rFonts w:hint="eastAsia"/>
        </w:rPr>
      </w:pPr>
    </w:p>
    <w:p>
      <w:pPr>
        <w:pageBreakBefore w:val="0"/>
        <w:wordWrap/>
        <w:topLinePunct/>
        <w:bidi w:val="0"/>
        <w:spacing w:line="520" w:lineRule="exact"/>
        <w:rPr>
          <w:rFonts w:hint="eastAsia" w:ascii="仿宋" w:hAnsi="仿宋" w:eastAsia="仿宋" w:cs="仿宋"/>
          <w:bCs/>
          <w:color w:val="auto"/>
          <w:sz w:val="32"/>
          <w:szCs w:val="32"/>
          <w:lang w:val="zh-CN"/>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color w:val="auto"/>
          <w:sz w:val="32"/>
          <w:szCs w:val="32"/>
        </w:rPr>
        <w:t>我国兽用疫苗，分为强制免疫疫苗和常规疫苗2大类，其中强制免疫疫苗包括针对高致病性禽流感、口蹄疫、高致病猪蓝耳病、猪瘟和小反刍兽疫等5种免疫疾病疫苗，由政府统一购买，下拨使用。按动物分类，可分为禽用、猪用、牛羊用、宠物用和经济动物用5大类疫苗。</w:t>
      </w:r>
      <w:r>
        <w:rPr>
          <w:rFonts w:hint="eastAsia" w:ascii="仿宋" w:hAnsi="仿宋" w:eastAsia="仿宋" w:cs="仿宋"/>
          <w:bCs/>
          <w:color w:val="auto"/>
          <w:sz w:val="32"/>
          <w:szCs w:val="32"/>
          <w:lang w:val="zh-CN"/>
        </w:rPr>
        <w:t>口蹄疫（FMD）是一种急性、热性、高度接触性传染病，易感动物达70多种，传播途径多、速度快。世界动物卫生组织（OIE）将其列为A类传染病之首，有2/3的OIE成员国流行口蹄疫。预防口蹄疫的疫苗有牛O型口蹄疫灭活疫苗，猪O型口蹄疫灭活疫苗，牛羊口蹄疫O型鼠化弱毒疫苗等。</w:t>
      </w:r>
    </w:p>
    <w:p>
      <w:pPr>
        <w:pageBreakBefore w:val="0"/>
        <w:widowControl w:val="0"/>
        <w:tabs>
          <w:tab w:val="right" w:leader="dot" w:pos="8750"/>
        </w:tabs>
        <w:wordWrap/>
        <w:bidi w:val="0"/>
        <w:adjustRightInd w:val="0"/>
        <w:snapToGrid w:val="0"/>
        <w:spacing w:line="560" w:lineRule="exact"/>
        <w:ind w:firstLine="640" w:firstLineChars="200"/>
        <w:jc w:val="both"/>
        <w:rPr>
          <w:rFonts w:hint="eastAsia" w:ascii="仿宋" w:hAnsi="仿宋" w:eastAsia="仿宋" w:cs="仿宋"/>
          <w:sz w:val="32"/>
          <w:szCs w:val="32"/>
          <w:lang w:eastAsia="zh-CN"/>
        </w:rPr>
      </w:pPr>
      <w:r>
        <w:rPr>
          <w:rFonts w:hint="eastAsia" w:ascii="仿宋_GB2312" w:hAnsi="仿宋_GB2312" w:eastAsia="仿宋_GB2312" w:cs="仿宋_GB2312"/>
          <w:color w:val="FF0000"/>
          <w:sz w:val="32"/>
          <w:szCs w:val="32"/>
          <w:highlight w:val="none"/>
          <w:lang w:val="en-US" w:eastAsia="zh-CN"/>
        </w:rPr>
        <w:t>2022年全市羊饲养量2300多万只，羊存栏1100多万只、出栏1200多万只，出栏量居自治区首位。</w:t>
      </w:r>
      <w:r>
        <w:rPr>
          <w:rFonts w:hint="eastAsia" w:ascii="仿宋" w:hAnsi="仿宋" w:eastAsia="仿宋" w:cs="仿宋"/>
          <w:bCs/>
          <w:color w:val="auto"/>
          <w:kern w:val="2"/>
          <w:sz w:val="32"/>
          <w:szCs w:val="32"/>
          <w:lang w:val="en-US" w:eastAsia="zh-CN" w:bidi="ar-SA"/>
        </w:rPr>
        <w:t>全市现有屠宰加工企业68家，年设计屠宰加工能力约10024万头/只/羽。全市畜禽养殖规模及密度的不断提高、疫病防治的重要性愈加凸出，同时对防控水平的要求也愈加严格，意味着当地畜禽生物制品尤其是疫苗的需求空间广阔。</w:t>
      </w:r>
    </w:p>
    <w:p>
      <w:pPr>
        <w:pageBreakBefore w:val="0"/>
        <w:wordWrap/>
        <w:topLinePunct/>
        <w:bidi w:val="0"/>
        <w:adjustRightInd w:val="0"/>
        <w:snapToGrid w:val="0"/>
        <w:spacing w:line="520" w:lineRule="exact"/>
        <w:rPr>
          <w:rFonts w:hint="eastAsia" w:ascii="仿宋" w:hAnsi="仿宋" w:eastAsia="仿宋" w:cs="仿宋"/>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rPr>
        <w:t>：</w:t>
      </w:r>
      <w:r>
        <w:rPr>
          <w:rFonts w:hint="eastAsia" w:ascii="仿宋" w:hAnsi="仿宋" w:eastAsia="仿宋" w:cs="仿宋"/>
          <w:bCs/>
          <w:color w:val="auto"/>
          <w:sz w:val="32"/>
          <w:szCs w:val="32"/>
        </w:rPr>
        <w:t>当地牛羊猪饲养量较大，当地市场有较大需求。当地水、电、土地资源、气候均具有综合优势。</w:t>
      </w:r>
    </w:p>
    <w:p>
      <w:pPr>
        <w:pageBreakBefore w:val="0"/>
        <w:wordWrap/>
        <w:topLinePunct/>
        <w:bidi w:val="0"/>
        <w:adjustRightInd w:val="0"/>
        <w:snapToGrid w:val="0"/>
        <w:spacing w:line="520" w:lineRule="exact"/>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color w:val="auto"/>
          <w:sz w:val="32"/>
          <w:szCs w:val="32"/>
        </w:rPr>
        <w:t>年产口蹄疫（悬浮）牛羊二价疫苗2亿毫升和口蹄疫（悬浮）猪双组份疫苗3亿毫升。工程总占地面积30亩，建设主要内容包括培养室、化验室、循环水系统、废水处理系统、成品及运输系统。</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无血清培养基、常规培养基、血清和206佐剂，辅料为糖、平衡盐、氨基酸等配置培养细胞用平衡盐溶液材料。</w:t>
      </w:r>
    </w:p>
    <w:p>
      <w:pPr>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仿宋" w:hAnsi="仿宋" w:eastAsia="仿宋" w:cs="仿宋"/>
          <w:b/>
          <w:sz w:val="32"/>
          <w:szCs w:val="32"/>
        </w:rPr>
        <w:t>技术经济指标估算</w:t>
      </w:r>
      <w:r>
        <w:rPr>
          <w:rFonts w:hint="eastAsia" w:ascii="仿宋" w:hAnsi="仿宋" w:eastAsia="仿宋" w:cs="仿宋"/>
          <w:sz w:val="32"/>
          <w:szCs w:val="32"/>
        </w:rPr>
        <w:t>：</w:t>
      </w:r>
      <w:r>
        <w:rPr>
          <w:rFonts w:hint="eastAsia" w:ascii="仿宋" w:hAnsi="仿宋" w:eastAsia="仿宋" w:cs="仿宋"/>
          <w:color w:val="auto"/>
          <w:sz w:val="32"/>
          <w:szCs w:val="32"/>
        </w:rPr>
        <w:t>项目总投资1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亿</w:t>
      </w:r>
      <w:r>
        <w:rPr>
          <w:rFonts w:hint="eastAsia" w:ascii="仿宋" w:hAnsi="仿宋" w:eastAsia="仿宋" w:cs="仿宋"/>
          <w:color w:val="auto"/>
          <w:sz w:val="32"/>
          <w:szCs w:val="32"/>
        </w:rPr>
        <w:t>元，环保投资</w:t>
      </w:r>
      <w:r>
        <w:rPr>
          <w:rFonts w:hint="eastAsia" w:ascii="仿宋" w:hAnsi="仿宋" w:eastAsia="仿宋" w:cs="仿宋"/>
          <w:color w:val="auto"/>
          <w:sz w:val="32"/>
          <w:szCs w:val="32"/>
          <w:lang w:val="en-US" w:eastAsia="zh-CN"/>
        </w:rPr>
        <w:t>0.0</w:t>
      </w:r>
      <w:r>
        <w:rPr>
          <w:rFonts w:hint="eastAsia" w:ascii="仿宋" w:hAnsi="仿宋" w:eastAsia="仿宋" w:cs="仿宋"/>
          <w:color w:val="auto"/>
          <w:sz w:val="32"/>
          <w:szCs w:val="32"/>
        </w:rPr>
        <w:t>78</w:t>
      </w:r>
      <w:r>
        <w:rPr>
          <w:rFonts w:hint="eastAsia" w:ascii="仿宋" w:hAnsi="仿宋" w:eastAsia="仿宋" w:cs="仿宋"/>
          <w:color w:val="auto"/>
          <w:sz w:val="32"/>
          <w:szCs w:val="32"/>
          <w:lang w:val="en-US" w:eastAsia="zh-CN"/>
        </w:rPr>
        <w:t>亿</w:t>
      </w:r>
      <w:r>
        <w:rPr>
          <w:rFonts w:hint="eastAsia" w:ascii="仿宋" w:hAnsi="仿宋" w:eastAsia="仿宋" w:cs="仿宋"/>
          <w:color w:val="auto"/>
          <w:sz w:val="32"/>
          <w:szCs w:val="32"/>
        </w:rPr>
        <w:t>元，经济效益达产后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估算营业收入为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95</w:t>
      </w:r>
      <w:r>
        <w:rPr>
          <w:rFonts w:hint="eastAsia" w:ascii="仿宋" w:hAnsi="仿宋" w:eastAsia="仿宋" w:cs="仿宋"/>
          <w:color w:val="auto"/>
          <w:sz w:val="32"/>
          <w:szCs w:val="32"/>
          <w:lang w:val="en-US" w:eastAsia="zh-CN"/>
        </w:rPr>
        <w:t>亿</w:t>
      </w:r>
      <w:r>
        <w:rPr>
          <w:rFonts w:hint="eastAsia" w:ascii="仿宋" w:hAnsi="仿宋" w:eastAsia="仿宋" w:cs="仿宋"/>
          <w:color w:val="auto"/>
          <w:sz w:val="32"/>
          <w:szCs w:val="32"/>
        </w:rPr>
        <w:t>元，总成本为</w:t>
      </w:r>
      <w:r>
        <w:rPr>
          <w:rFonts w:hint="eastAsia" w:ascii="仿宋" w:hAnsi="仿宋" w:eastAsia="仿宋" w:cs="仿宋"/>
          <w:color w:val="auto"/>
          <w:sz w:val="32"/>
          <w:szCs w:val="32"/>
          <w:lang w:val="en-US" w:eastAsia="zh-CN"/>
        </w:rPr>
        <w:t>0.0</w:t>
      </w:r>
      <w:r>
        <w:rPr>
          <w:rFonts w:hint="eastAsia" w:ascii="仿宋" w:hAnsi="仿宋" w:eastAsia="仿宋" w:cs="仿宋"/>
          <w:color w:val="auto"/>
          <w:sz w:val="32"/>
          <w:szCs w:val="32"/>
        </w:rPr>
        <w:t>67</w:t>
      </w:r>
      <w:r>
        <w:rPr>
          <w:rFonts w:hint="eastAsia" w:ascii="仿宋" w:hAnsi="仿宋" w:eastAsia="仿宋" w:cs="仿宋"/>
          <w:color w:val="auto"/>
          <w:sz w:val="32"/>
          <w:szCs w:val="32"/>
          <w:lang w:val="en-US" w:eastAsia="zh-CN"/>
        </w:rPr>
        <w:t>亿</w:t>
      </w:r>
      <w:r>
        <w:rPr>
          <w:rFonts w:hint="eastAsia" w:ascii="仿宋" w:hAnsi="仿宋" w:eastAsia="仿宋" w:cs="仿宋"/>
          <w:color w:val="auto"/>
          <w:sz w:val="32"/>
          <w:szCs w:val="32"/>
        </w:rPr>
        <w:t>元，利润总额为</w:t>
      </w:r>
      <w:r>
        <w:rPr>
          <w:rFonts w:hint="eastAsia" w:ascii="仿宋" w:hAnsi="仿宋" w:eastAsia="仿宋" w:cs="仿宋"/>
          <w:color w:val="auto"/>
          <w:sz w:val="32"/>
          <w:szCs w:val="32"/>
          <w:lang w:val="en-US" w:eastAsia="zh-CN"/>
        </w:rPr>
        <w:t>0.0</w:t>
      </w:r>
      <w:r>
        <w:rPr>
          <w:rFonts w:hint="eastAsia" w:ascii="仿宋" w:hAnsi="仿宋" w:eastAsia="仿宋" w:cs="仿宋"/>
          <w:color w:val="auto"/>
          <w:sz w:val="32"/>
          <w:szCs w:val="32"/>
        </w:rPr>
        <w:t>28</w:t>
      </w:r>
      <w:r>
        <w:rPr>
          <w:rFonts w:hint="eastAsia" w:ascii="仿宋" w:hAnsi="仿宋" w:eastAsia="仿宋" w:cs="仿宋"/>
          <w:color w:val="auto"/>
          <w:sz w:val="32"/>
          <w:szCs w:val="32"/>
          <w:lang w:val="en-US" w:eastAsia="zh-CN"/>
        </w:rPr>
        <w:t>亿</w:t>
      </w:r>
      <w:r>
        <w:rPr>
          <w:rFonts w:hint="eastAsia" w:ascii="仿宋" w:hAnsi="仿宋" w:eastAsia="仿宋" w:cs="仿宋"/>
          <w:color w:val="auto"/>
          <w:sz w:val="32"/>
          <w:szCs w:val="32"/>
        </w:rPr>
        <w:t>元。</w:t>
      </w: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pStyle w:val="15"/>
        <w:rPr>
          <w:rFonts w:hint="eastAsia" w:ascii="仿宋" w:hAnsi="仿宋" w:eastAsia="仿宋" w:cs="仿宋"/>
          <w:b/>
          <w:bCs/>
          <w:kern w:val="44"/>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b/>
          <w:bCs/>
          <w:kern w:val="44"/>
          <w:sz w:val="44"/>
          <w:szCs w:val="44"/>
        </w:rPr>
      </w:pPr>
    </w:p>
    <w:p>
      <w:pPr>
        <w:pStyle w:val="15"/>
        <w:jc w:val="center"/>
        <w:rPr>
          <w:rFonts w:hint="eastAsia" w:ascii="宋体" w:hAnsi="宋体" w:eastAsia="宋体" w:cs="宋体"/>
          <w:b/>
          <w:bCs/>
          <w:kern w:val="44"/>
          <w:sz w:val="44"/>
          <w:szCs w:val="44"/>
        </w:rPr>
      </w:pPr>
      <w:r>
        <w:rPr>
          <w:rFonts w:hint="eastAsia"/>
        </w:rPr>
        <w:t>粉煤灰制砖项目</w:t>
      </w:r>
    </w:p>
    <w:p>
      <w:pPr>
        <w:pStyle w:val="15"/>
        <w:ind w:left="0" w:leftChars="0" w:firstLine="0" w:firstLineChars="0"/>
        <w:rPr>
          <w:rFonts w:hint="eastAsia" w:ascii="宋体" w:hAnsi="宋体" w:eastAsia="宋体" w:cs="宋体"/>
          <w:b/>
          <w:bCs/>
          <w:kern w:val="44"/>
          <w:sz w:val="44"/>
          <w:szCs w:val="44"/>
        </w:rPr>
      </w:pPr>
    </w:p>
    <w:p>
      <w:pPr>
        <w:autoSpaceDE w:val="0"/>
        <w:autoSpaceDN w:val="0"/>
        <w:adjustRightInd w:val="0"/>
        <w:spacing w:line="560" w:lineRule="exact"/>
        <w:rPr>
          <w:rFonts w:hint="eastAsia" w:ascii="仿宋" w:hAnsi="仿宋" w:eastAsia="仿宋" w:cs="仿宋"/>
          <w:b/>
          <w:bCs/>
          <w:sz w:val="32"/>
          <w:szCs w:val="32"/>
          <w:lang w:eastAsia="zh-CN"/>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sz w:val="32"/>
          <w:szCs w:val="32"/>
        </w:rPr>
        <w:t>（1）利用火力发电、煤化工和有色金属冶炼的各种固体废渣，包括粉煤灰和石膏，建设粉煤灰制砖项目，既可消化煤化工产业废渣，生产新型建材，又可以消化电厂和煤化工产业产生的脱硫石膏，变废物为资源。该项目能够消化粉煤灰等固体废渣101万多吨，石膏3.12万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由于当地固废粉灰的数量大，其他固体废渣相对较小，因此，适宜于生产高掺量粉煤灰免烧砖。高掺量粉煤灰免烧砖技术可以大量利用粉煤灰，其用量达到80%(包括骨料)以上，为大量消化利用粉煤灰开辟一条新途径。</w:t>
      </w:r>
    </w:p>
    <w:p>
      <w:pPr>
        <w:autoSpaceDE w:val="0"/>
        <w:autoSpaceDN w:val="0"/>
        <w:adjustRightInd w:val="0"/>
        <w:spacing w:line="560" w:lineRule="exact"/>
        <w:rPr>
          <w:rFonts w:hint="eastAsia" w:ascii="仿宋" w:hAnsi="仿宋" w:eastAsia="仿宋" w:cs="仿宋"/>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rPr>
        <w:t>：巴彦淖尔市火力发电达到213万千瓦，电厂粉煤灰可为原料；前旗、中旗和后旗都有大型焦化项目建成或者在建，有大量的粉煤灰需要加以循环处理；铜、铅、锌等有色金属的冶金产生的大量固体废渣也需要加以清洁化处理；当地还有丰富的砂子和石灰石资源。</w:t>
      </w:r>
    </w:p>
    <w:p>
      <w:pPr>
        <w:spacing w:line="520" w:lineRule="exact"/>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kern w:val="0"/>
          <w:sz w:val="32"/>
          <w:szCs w:val="32"/>
        </w:rPr>
        <w:t>年产5亿块粉煤灰砖生产线项目</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主要原料：粉煤灰、砂子、石灰石、石膏、其他矿渣（有色金属冶炼固体废渣等）</w:t>
      </w:r>
    </w:p>
    <w:p>
      <w:pPr>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仿宋" w:hAnsi="仿宋" w:eastAsia="仿宋" w:cs="仿宋"/>
          <w:b/>
          <w:sz w:val="32"/>
          <w:szCs w:val="32"/>
        </w:rPr>
        <w:t>技术经济指标估算</w:t>
      </w:r>
      <w:r>
        <w:rPr>
          <w:rFonts w:hint="eastAsia" w:ascii="仿宋" w:hAnsi="仿宋" w:eastAsia="仿宋" w:cs="仿宋"/>
          <w:sz w:val="32"/>
          <w:szCs w:val="32"/>
        </w:rPr>
        <w:t>：</w:t>
      </w:r>
    </w:p>
    <w:tbl>
      <w:tblPr>
        <w:tblStyle w:val="12"/>
        <w:tblW w:w="8357" w:type="dxa"/>
        <w:jc w:val="center"/>
        <w:tblLayout w:type="fixed"/>
        <w:tblCellMar>
          <w:top w:w="0" w:type="dxa"/>
          <w:left w:w="108" w:type="dxa"/>
          <w:bottom w:w="0" w:type="dxa"/>
          <w:right w:w="108" w:type="dxa"/>
        </w:tblCellMar>
      </w:tblPr>
      <w:tblGrid>
        <w:gridCol w:w="1208"/>
        <w:gridCol w:w="2712"/>
        <w:gridCol w:w="1451"/>
        <w:gridCol w:w="1602"/>
        <w:gridCol w:w="1384"/>
      </w:tblGrid>
      <w:tr>
        <w:tblPrEx>
          <w:tblCellMar>
            <w:top w:w="0" w:type="dxa"/>
            <w:left w:w="108" w:type="dxa"/>
            <w:bottom w:w="0" w:type="dxa"/>
            <w:right w:w="108" w:type="dxa"/>
          </w:tblCellMar>
        </w:tblPrEx>
        <w:trPr>
          <w:trHeight w:val="691"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序号</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项目名称</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单位</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数量</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备注</w:t>
            </w:r>
          </w:p>
        </w:tc>
      </w:tr>
      <w:tr>
        <w:tblPrEx>
          <w:tblCellMar>
            <w:top w:w="0" w:type="dxa"/>
            <w:left w:w="108" w:type="dxa"/>
            <w:bottom w:w="0" w:type="dxa"/>
            <w:right w:w="108" w:type="dxa"/>
          </w:tblCellMar>
        </w:tblPrEx>
        <w:trPr>
          <w:trHeight w:val="535"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一、</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生产规模</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粉煤灰砖</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亿块</w:t>
            </w:r>
            <w:r>
              <w:rPr>
                <w:rFonts w:ascii="宋体" w:hAnsi="宋体"/>
                <w:sz w:val="24"/>
                <w:szCs w:val="28"/>
              </w:rPr>
              <w:t>/</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5.0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二、</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主要原材料、燃料用量</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ascii="宋体" w:hAnsi="宋体"/>
                <w:sz w:val="24"/>
                <w:szCs w:val="28"/>
              </w:rPr>
              <w:t>1</w:t>
            </w:r>
            <w:r>
              <w:rPr>
                <w:rFonts w:hint="eastAsia" w:ascii="宋体" w:hAnsi="宋体"/>
                <w:sz w:val="24"/>
                <w:szCs w:val="28"/>
              </w:rPr>
              <w:t>．</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粉煤灰</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万吨</w:t>
            </w:r>
            <w:r>
              <w:rPr>
                <w:rFonts w:ascii="宋体" w:hAnsi="宋体"/>
                <w:sz w:val="24"/>
                <w:szCs w:val="28"/>
              </w:rPr>
              <w:t>/</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101.0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ascii="宋体" w:hAnsi="宋体"/>
                <w:sz w:val="24"/>
                <w:szCs w:val="28"/>
              </w:rPr>
              <w:t>2</w:t>
            </w:r>
            <w:r>
              <w:rPr>
                <w:rFonts w:hint="eastAsia" w:ascii="宋体" w:hAnsi="宋体"/>
                <w:sz w:val="24"/>
                <w:szCs w:val="28"/>
              </w:rPr>
              <w:t>．</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砂子</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万吨</w:t>
            </w:r>
            <w:r>
              <w:rPr>
                <w:rFonts w:ascii="宋体" w:hAnsi="宋体"/>
                <w:sz w:val="24"/>
                <w:szCs w:val="28"/>
              </w:rPr>
              <w:t>/</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20.28</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ascii="宋体" w:hAnsi="宋体"/>
                <w:sz w:val="24"/>
                <w:szCs w:val="28"/>
              </w:rPr>
              <w:t>3</w:t>
            </w:r>
            <w:r>
              <w:rPr>
                <w:rFonts w:hint="eastAsia" w:ascii="宋体" w:hAnsi="宋体"/>
                <w:sz w:val="24"/>
                <w:szCs w:val="28"/>
              </w:rPr>
              <w:t>．</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石灰石</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万吨</w:t>
            </w:r>
            <w:r>
              <w:rPr>
                <w:rFonts w:ascii="宋体" w:hAnsi="宋体"/>
                <w:sz w:val="24"/>
                <w:szCs w:val="28"/>
              </w:rPr>
              <w:t>/</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15.60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ascii="宋体" w:hAnsi="宋体"/>
                <w:sz w:val="24"/>
                <w:szCs w:val="28"/>
              </w:rPr>
              <w:t>4</w:t>
            </w:r>
            <w:r>
              <w:rPr>
                <w:rFonts w:hint="eastAsia" w:ascii="宋体" w:hAnsi="宋体"/>
                <w:sz w:val="24"/>
                <w:szCs w:val="28"/>
              </w:rPr>
              <w:t>．</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石膏</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万吨</w:t>
            </w:r>
            <w:r>
              <w:rPr>
                <w:rFonts w:ascii="宋体" w:hAnsi="宋体"/>
                <w:sz w:val="24"/>
                <w:szCs w:val="28"/>
              </w:rPr>
              <w:t>/</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3.12</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ascii="宋体" w:hAnsi="宋体"/>
                <w:sz w:val="24"/>
                <w:szCs w:val="28"/>
              </w:rPr>
              <w:t>5</w:t>
            </w:r>
            <w:r>
              <w:rPr>
                <w:rFonts w:hint="eastAsia" w:ascii="宋体" w:hAnsi="宋体"/>
                <w:sz w:val="24"/>
                <w:szCs w:val="28"/>
              </w:rPr>
              <w:t>．</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其他固体废渣</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万吨</w:t>
            </w:r>
            <w:r>
              <w:rPr>
                <w:rFonts w:ascii="宋体" w:hAnsi="宋体"/>
                <w:sz w:val="24"/>
                <w:szCs w:val="28"/>
              </w:rPr>
              <w:t>/</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15.60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三、</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公用动力消耗量</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ascii="宋体" w:hAnsi="宋体"/>
                <w:sz w:val="24"/>
                <w:szCs w:val="28"/>
              </w:rPr>
              <w:t>1</w:t>
            </w:r>
            <w:r>
              <w:rPr>
                <w:rFonts w:hint="eastAsia" w:ascii="宋体" w:hAnsi="宋体"/>
                <w:sz w:val="24"/>
                <w:szCs w:val="28"/>
              </w:rPr>
              <w:t>．</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供水</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w:t>
            </w:r>
            <w:r>
              <w:rPr>
                <w:rFonts w:ascii="宋体" w:hAnsi="宋体"/>
                <w:sz w:val="24"/>
                <w:szCs w:val="28"/>
              </w:rPr>
              <w:t>m</w:t>
            </w:r>
            <w:r>
              <w:rPr>
                <w:rFonts w:ascii="宋体" w:hAnsi="宋体"/>
                <w:sz w:val="24"/>
                <w:szCs w:val="28"/>
                <w:vertAlign w:val="superscript"/>
              </w:rPr>
              <w:t>3</w:t>
            </w:r>
            <w:r>
              <w:rPr>
                <w:rFonts w:ascii="宋体" w:hAnsi="宋体"/>
                <w:sz w:val="24"/>
                <w:szCs w:val="28"/>
              </w:rPr>
              <w:t>/</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5.0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ascii="宋体" w:hAnsi="宋体"/>
                <w:sz w:val="24"/>
                <w:szCs w:val="28"/>
              </w:rPr>
              <w:t>2</w:t>
            </w:r>
            <w:r>
              <w:rPr>
                <w:rFonts w:hint="eastAsia" w:ascii="宋体" w:hAnsi="宋体"/>
                <w:sz w:val="24"/>
                <w:szCs w:val="28"/>
              </w:rPr>
              <w:t>．</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供电</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w:t>
            </w:r>
            <w:r>
              <w:rPr>
                <w:rFonts w:ascii="宋体" w:hAnsi="宋体"/>
                <w:sz w:val="24"/>
                <w:szCs w:val="28"/>
              </w:rPr>
              <w:t>kwh/</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300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3.</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供汽</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万吨</w:t>
            </w:r>
            <w:r>
              <w:rPr>
                <w:rFonts w:ascii="宋体" w:hAnsi="宋体"/>
                <w:sz w:val="24"/>
                <w:szCs w:val="28"/>
              </w:rPr>
              <w:t>/</w:t>
            </w:r>
            <w:r>
              <w:rPr>
                <w:rFonts w:hint="eastAsia" w:ascii="宋体" w:hAnsi="宋体"/>
                <w:sz w:val="24"/>
                <w:szCs w:val="28"/>
              </w:rPr>
              <w:t>年</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9</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四、</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定员</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人</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300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五、</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占地面积</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亩</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250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六、</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项目总投资</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万元</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6944</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七、</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年平均销售收入</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万元</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10000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r>
        <w:tblPrEx>
          <w:tblCellMar>
            <w:top w:w="0" w:type="dxa"/>
            <w:left w:w="108" w:type="dxa"/>
            <w:bottom w:w="0" w:type="dxa"/>
            <w:right w:w="108" w:type="dxa"/>
          </w:tblCellMar>
        </w:tblPrEx>
        <w:trPr>
          <w:trHeight w:val="547"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八、</w:t>
            </w:r>
          </w:p>
        </w:tc>
        <w:tc>
          <w:tcPr>
            <w:tcW w:w="271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年平均利润总额</w:t>
            </w:r>
          </w:p>
        </w:tc>
        <w:tc>
          <w:tcPr>
            <w:tcW w:w="145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sz w:val="24"/>
                <w:szCs w:val="28"/>
              </w:rPr>
            </w:pPr>
            <w:r>
              <w:rPr>
                <w:rFonts w:hint="eastAsia" w:ascii="宋体" w:hAnsi="宋体"/>
                <w:sz w:val="24"/>
                <w:szCs w:val="28"/>
              </w:rPr>
              <w:t>万元</w:t>
            </w:r>
          </w:p>
        </w:tc>
        <w:tc>
          <w:tcPr>
            <w:tcW w:w="1602"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r>
              <w:rPr>
                <w:rFonts w:ascii="宋体" w:hAnsi="宋体"/>
                <w:sz w:val="24"/>
                <w:szCs w:val="28"/>
              </w:rPr>
              <w:t>2500</w:t>
            </w:r>
          </w:p>
        </w:tc>
        <w:tc>
          <w:tcPr>
            <w:tcW w:w="1384"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宋体" w:hAnsi="宋体"/>
                <w:sz w:val="24"/>
                <w:szCs w:val="28"/>
              </w:rPr>
            </w:pPr>
          </w:p>
        </w:tc>
      </w:tr>
    </w:tbl>
    <w:p>
      <w:pPr>
        <w:rPr>
          <w:rFonts w:hint="eastAsia"/>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widowControl/>
        <w:suppressLineNumbers w:val="0"/>
        <w:jc w:val="both"/>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sz w:val="44"/>
          <w:szCs w:val="44"/>
        </w:rPr>
      </w:pPr>
      <w:r>
        <w:rPr>
          <w:rFonts w:hint="eastAsia" w:ascii="宋体" w:hAnsi="宋体" w:eastAsia="宋体" w:cs="宋体"/>
          <w:b/>
          <w:bCs/>
          <w:color w:val="000000"/>
          <w:kern w:val="0"/>
          <w:sz w:val="44"/>
          <w:szCs w:val="44"/>
          <w:lang w:val="en-US" w:eastAsia="zh-CN" w:bidi="ar"/>
        </w:rPr>
        <w:t>高档彩印纸箱及制罐包装项目</w:t>
      </w:r>
    </w:p>
    <w:p>
      <w:pPr>
        <w:pStyle w:val="15"/>
        <w:ind w:left="0" w:leftChars="0" w:firstLine="0" w:firstLineChars="0"/>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lang w:eastAsia="zh-CN"/>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sz w:val="32"/>
          <w:szCs w:val="32"/>
          <w:lang w:val="en-US" w:eastAsia="zh-CN"/>
        </w:rPr>
        <w:t>巴彦淖尔市的包装行业发展一直比较缓慢，生产企业规模小，技术装备水平低，现只有13家从事纸箱包装生产的小型企业，且所使用的包装材料绝大多数从浙江、广东等地购进（半成品从包头、呼市、银川等地购进），运费高，资金占用大，造成企业成本上升，不能满足市场需求。巴彦淖尔市位于内蒙古自治区西部，全市总面积6.5万平方公里，人口153.8万，绿色农畜产品资源丰富，是全国绿色有机高端农畜产品加工基地，全市销售收入500万元以上的农牧业产业化龙头企业280家。河套巴美肉羊、向日葵、枸杞、西甜瓜、番茄、肉苁蓉等16个产品获得国家地理标志登记保护，累计认证“三品一标”企业104家，产品341个，全市已获得涉农知名以上商标242个。粮油、炒货、果蔬、乳、肉、绒、中药材、酿造等食品加工企业密布，仅巴彦淖尔市每年乳、肉、粮油、饲料的加工能力分别达到400万吨、120 万吨、710 万吨、550万吨。产品包装市场前景广阔。</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lang w:val="en-US" w:eastAsia="zh-CN"/>
        </w:rPr>
        <w:t>经测算，我市农畜产品加工企业所需纸箱、纸盒、商标等包装材料就达80亿平方米左右，其中羊肉各类包装近1500万个（瓦楞纸箱、标签、塑封等），瓜子包装2000万个（瓦楞纸箱、纸底塑面包装、塑封包装）、蜜瓜蔬菜包装近1000万个（瓦楞纸箱、包装网套），其它行业各类包装需要约2000万个以上。年消耗包装材料费用100亿元以上。仅开发区农畜产品加工企业（如美洋洋、草原宏宝、三胖蛋、葵先生等）每家企业每年各类包装的需求量在800万个左右；医药企业（如联邦制药、京新药业）每家企业每年瓦楞纸箱的需求量在50万个左右；酿造企业（如燕京啤酒、河套酒业等）每家企业每年瓦楞纸箱的需求量在50万左右。开发区其他重点企业彩印包装箱用量：鲁花年使用包装数量近600万个，娃哈哈1000万个；燕京啤酒年使用各类包装达 1500 万个（瓦楞纸箱、塑封包、易拉罐、瓶）。</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lang w:val="en-US" w:eastAsia="zh-CN"/>
        </w:rPr>
        <w:t>建设高档彩印纸箱及制罐包装生产项目。</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仿宋" w:hAnsi="仿宋" w:eastAsia="仿宋" w:cs="仿宋"/>
          <w:b/>
          <w:bCs/>
          <w:sz w:val="32"/>
          <w:szCs w:val="32"/>
        </w:rPr>
        <w:t>技术经济指标估算：</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开发区各企业包装项目年花费近20亿元。</w:t>
      </w:r>
    </w:p>
    <w:p>
      <w:pPr>
        <w:rPr>
          <w:rFonts w:hint="eastAsia" w:ascii="仿宋" w:hAnsi="仿宋" w:eastAsia="仿宋" w:cs="仿宋"/>
          <w:sz w:val="32"/>
          <w:szCs w:val="32"/>
        </w:rPr>
      </w:pPr>
      <w:r>
        <w:rPr>
          <w:rFonts w:hint="eastAsia" w:ascii="仿宋" w:hAnsi="仿宋" w:eastAsia="仿宋" w:cs="仿宋"/>
          <w:b/>
          <w:bCs/>
          <w:sz w:val="32"/>
          <w:szCs w:val="32"/>
        </w:rPr>
        <w:t>合作方式：</w:t>
      </w:r>
      <w:r>
        <w:rPr>
          <w:rFonts w:hint="eastAsia" w:ascii="仿宋" w:hAnsi="仿宋" w:eastAsia="仿宋" w:cs="仿宋"/>
          <w:sz w:val="32"/>
          <w:szCs w:val="32"/>
        </w:rPr>
        <w:t>独资  合资  合作</w:t>
      </w:r>
    </w:p>
    <w:p>
      <w:pPr>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rPr>
          <w:rFonts w:hint="eastAsia" w:ascii="仿宋" w:hAnsi="仿宋" w:eastAsia="仿宋" w:cs="仿宋"/>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sz w:val="32"/>
          <w:szCs w:val="32"/>
          <w:lang w:val="en-US" w:eastAsia="zh-CN"/>
        </w:rPr>
        <w:t>张飞  尚子文</w:t>
      </w:r>
    </w:p>
    <w:p>
      <w:pPr>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linhezs@163.com    </w:t>
      </w:r>
    </w:p>
    <w:p>
      <w:pPr>
        <w:rPr>
          <w:rFonts w:hint="eastAsia" w:ascii="仿宋" w:hAnsi="仿宋" w:eastAsia="仿宋" w:cs="仿宋"/>
          <w:sz w:val="32"/>
          <w:szCs w:val="32"/>
          <w:lang w:val="en-US" w:eastAsia="zh-CN"/>
        </w:rPr>
      </w:pPr>
      <w:r>
        <w:rPr>
          <w:rFonts w:hint="eastAsia" w:ascii="仿宋" w:hAnsi="仿宋" w:eastAsia="仿宋" w:cs="仿宋"/>
          <w:b/>
          <w:bCs/>
          <w:sz w:val="32"/>
          <w:szCs w:val="32"/>
        </w:rPr>
        <w:t>传</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太阳能电池片、电池组件项目</w:t>
      </w:r>
    </w:p>
    <w:p>
      <w:pPr>
        <w:rPr>
          <w:rFonts w:hint="eastAsia" w:ascii="仿宋" w:hAnsi="仿宋" w:eastAsia="仿宋" w:cs="仿宋"/>
          <w:sz w:val="32"/>
          <w:szCs w:val="32"/>
        </w:rPr>
      </w:pP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color w:val="000000"/>
          <w:kern w:val="0"/>
          <w:sz w:val="32"/>
          <w:szCs w:val="32"/>
          <w:lang w:val="en-US" w:eastAsia="zh-CN" w:bidi="ar"/>
        </w:rPr>
        <w:t xml:space="preserve">光伏太阳能电池在太阳能电池市场中占据份额较大，增长速度快，相对于薄膜电池等技术更加成熟且制造成本较低，光伏电池作为光伏电站主要组成部分，随着电站的增多，其需求也在不断地增加。我国的电气化水平比较低，因此电力工业规模还将不断扩大，而未来发电装机规模的扩大将是以光伏和风电等清洁能源产业规模的扩大为主。巴彦淖尔市目前有两家多晶硅高纯硅料生产企业，该项目是往下游的深加工项目，有利于当地形成光伏产业集群并构建完整的产业链。新能源产业对于产业链中游的光伏电池片制造，是必不可缺的一环，能够很好地承接上游高纯晶硅产业的产品线。而电池片生产企业的建立乃至整个产业集聚区的形成都可以为当地创造可观的就业机会和经济增长。 </w:t>
      </w: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rPr>
        <w:t>：</w:t>
      </w:r>
      <w:r>
        <w:rPr>
          <w:rFonts w:hint="eastAsia" w:ascii="仿宋" w:hAnsi="仿宋" w:eastAsia="仿宋" w:cs="仿宋"/>
          <w:b/>
          <w:bCs/>
          <w:color w:val="000000"/>
          <w:kern w:val="0"/>
          <w:sz w:val="32"/>
          <w:szCs w:val="32"/>
          <w:lang w:val="en-US" w:eastAsia="zh-CN" w:bidi="ar"/>
        </w:rPr>
        <w:t>1.太阳能资源丰富。</w:t>
      </w:r>
      <w:r>
        <w:rPr>
          <w:rFonts w:hint="eastAsia" w:ascii="仿宋" w:hAnsi="仿宋" w:eastAsia="仿宋" w:cs="仿宋"/>
          <w:color w:val="000000"/>
          <w:kern w:val="0"/>
          <w:sz w:val="32"/>
          <w:szCs w:val="32"/>
          <w:lang w:val="en-US" w:eastAsia="zh-CN" w:bidi="ar"/>
        </w:rPr>
        <w:t>巴彦淖尔有充足的光热资源。内蒙古海拔较高，晴天多，太阳辐射强，日照时数也较多。总辐射量高达每平方米6490— 6992兆焦耳，太阳能装机容量110万千瓦，居内蒙古第一位；日照时数在3300小时，是全国的高值地区之一，而全区以巴彦淖尔市西部及阿拉善盟最多。巴彦淖尔土地资源丰富，有许多荒地尚待开发，有利于降低光伏电站的投资成本。巴彦淖尔能源丰富，电价低廉，大大降低了工厂的运营成本。</w:t>
      </w:r>
      <w:r>
        <w:rPr>
          <w:rFonts w:hint="eastAsia" w:ascii="仿宋" w:hAnsi="仿宋" w:eastAsia="仿宋" w:cs="仿宋"/>
          <w:b/>
          <w:bCs/>
          <w:color w:val="000000"/>
          <w:kern w:val="0"/>
          <w:sz w:val="32"/>
          <w:szCs w:val="32"/>
          <w:lang w:val="en-US" w:eastAsia="zh-CN" w:bidi="ar"/>
        </w:rPr>
        <w:t>2.光伏产业雄厚。</w:t>
      </w:r>
      <w:r>
        <w:rPr>
          <w:rFonts w:hint="eastAsia" w:ascii="仿宋" w:hAnsi="仿宋" w:eastAsia="仿宋" w:cs="仿宋"/>
          <w:color w:val="000000"/>
          <w:kern w:val="0"/>
          <w:sz w:val="32"/>
          <w:szCs w:val="32"/>
          <w:lang w:val="en-US" w:eastAsia="zh-CN" w:bidi="ar"/>
        </w:rPr>
        <w:t>巴彦淖尔市拥有光伏产业重要原材料的两家企业，其中，盾安公司目前年产能1万吨，将再新建产能1万吨。东立公司目前产能1.2万吨，将再新建产能6万吨，未来巴彦淖尔市的多晶硅总产能将达到9.2万吨，成为中国乃至世界重要的光伏产业原料生产基地。3.</w:t>
      </w:r>
      <w:r>
        <w:rPr>
          <w:rFonts w:hint="eastAsia" w:ascii="仿宋" w:hAnsi="仿宋" w:eastAsia="仿宋" w:cs="仿宋"/>
          <w:b/>
          <w:bCs/>
          <w:color w:val="000000"/>
          <w:kern w:val="0"/>
          <w:sz w:val="32"/>
          <w:szCs w:val="32"/>
          <w:lang w:val="en-US" w:eastAsia="zh-CN" w:bidi="ar"/>
        </w:rPr>
        <w:t>区位条件。</w:t>
      </w:r>
      <w:r>
        <w:rPr>
          <w:rFonts w:hint="eastAsia" w:ascii="仿宋" w:hAnsi="仿宋" w:eastAsia="仿宋" w:cs="仿宋"/>
          <w:color w:val="000000"/>
          <w:kern w:val="0"/>
          <w:sz w:val="32"/>
          <w:szCs w:val="32"/>
          <w:lang w:val="en-US" w:eastAsia="zh-CN" w:bidi="ar"/>
        </w:rPr>
        <w:t>巴彦淖尔处于以京津为龙头的“呼（市）—包（头）—银（川）—兰（州）”经济带上，是国家西部大开发的重点区域。</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color w:val="000000"/>
          <w:kern w:val="0"/>
          <w:sz w:val="32"/>
          <w:szCs w:val="32"/>
          <w:lang w:val="en-US" w:eastAsia="zh-CN" w:bidi="ar"/>
        </w:rPr>
        <w:t xml:space="preserve">年产5GW高效单晶太阳能电池片项目，年产能 5GW 的光伏太阳能组件生产项目。 </w:t>
      </w:r>
    </w:p>
    <w:p>
      <w:pPr>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宋体" w:hAnsi="宋体" w:cs="宋体"/>
          <w:b/>
          <w:sz w:val="28"/>
          <w:szCs w:val="28"/>
        </w:rPr>
        <w:t>技术经济指标估算</w:t>
      </w:r>
      <w:r>
        <w:rPr>
          <w:rFonts w:hint="eastAsia" w:ascii="仿宋" w:hAnsi="仿宋" w:eastAsia="仿宋" w:cs="仿宋"/>
          <w:sz w:val="32"/>
          <w:szCs w:val="32"/>
        </w:rPr>
        <w:t>：</w:t>
      </w:r>
    </w:p>
    <w:p>
      <w:pPr>
        <w:pStyle w:val="15"/>
        <w:rPr>
          <w:rFonts w:hint="eastAsia"/>
        </w:rPr>
      </w:pPr>
      <w:r>
        <w:rPr>
          <w:rFonts w:hint="eastAsia" w:ascii="仿宋" w:hAnsi="仿宋" w:eastAsia="仿宋" w:cs="仿宋"/>
          <w:color w:val="000000"/>
          <w:kern w:val="0"/>
          <w:sz w:val="32"/>
          <w:szCs w:val="32"/>
          <w:lang w:val="en-US" w:eastAsia="zh-CN" w:bidi="ar"/>
        </w:rPr>
        <w:drawing>
          <wp:inline distT="0" distB="0" distL="114300" distR="114300">
            <wp:extent cx="5271135" cy="3982720"/>
            <wp:effectExtent l="0" t="0" r="5715" b="17780"/>
            <wp:docPr id="4" name="图片 4" descr="太阳能电池片、电池组件项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太阳能电池片、电池组件项目"/>
                    <pic:cNvPicPr>
                      <a:picLocks noChangeAspect="1"/>
                    </pic:cNvPicPr>
                  </pic:nvPicPr>
                  <pic:blipFill>
                    <a:blip r:embed="rId5"/>
                    <a:stretch>
                      <a:fillRect/>
                    </a:stretch>
                  </pic:blipFill>
                  <pic:spPr>
                    <a:xfrm>
                      <a:off x="0" y="0"/>
                      <a:ext cx="5271135" cy="39827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光伏背板及支架项目</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项目概况：</w:t>
      </w:r>
      <w:r>
        <w:rPr>
          <w:rFonts w:hint="eastAsia" w:ascii="仿宋" w:hAnsi="仿宋" w:eastAsia="仿宋" w:cs="仿宋"/>
          <w:color w:val="000000"/>
          <w:kern w:val="0"/>
          <w:sz w:val="32"/>
          <w:szCs w:val="32"/>
          <w:lang w:val="en-US" w:eastAsia="zh-CN" w:bidi="ar"/>
        </w:rPr>
        <w:t xml:space="preserve">太阳能背板广泛应用于太阳能电池(光伏)组件，位于太阳能电池板的背面，在户外环境下保护太阳能电池组件不受水汽侵蚀，阻碍氧气，防止组件内部氧化，具有可靠的绝缘性、阻水性、耐老化性、耐高低温、耐腐蚀性。光伏支架是太阳能光伏发电系统中为了摆放、安装、固定太阳能面板设计的特殊的支架。光伏支架作为光伏产业的中下游原料，是光伏电站建设的必备材料。光伏支架不仅承载着光伏组件，还与桩基相连，作为光伏电站发电主体的承载者，支架的重要性不言而喻。支架的选择直接影响着光伏组件的运行安全、破损率及建设投资，选择合适的光伏支架不但能降低工程造价，也会减少后期养护成本。新能源产业据预测2019-2023 年期间，全球太阳能光伏背板市场规模将增长近 20.8 亿美元，复合年增长率接近 17%。到 2030 年全球光伏的装机量累计达到 1721GW，到 2050 年有望增加到 4670GW，光伏行业的发展潜力巨大，带动光伏支架的发展。 </w:t>
      </w: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建设条件：1</w:t>
      </w:r>
      <w:r>
        <w:rPr>
          <w:rFonts w:hint="eastAsia" w:ascii="仿宋" w:hAnsi="仿宋" w:eastAsia="仿宋" w:cs="仿宋"/>
          <w:color w:val="000000"/>
          <w:kern w:val="0"/>
          <w:sz w:val="32"/>
          <w:szCs w:val="32"/>
          <w:lang w:val="en-US" w:eastAsia="zh-CN" w:bidi="ar"/>
        </w:rPr>
        <w:t>.巴彦淖尔市和周边地区是我国重要的光伏发电电源基地，因此，发展光伏产业链，并为光伏产业主链提供各类原料、零件和辅料，靠近市场生产，具有成本优势和竞争力。</w:t>
      </w:r>
      <w:r>
        <w:rPr>
          <w:rFonts w:hint="eastAsia" w:ascii="仿宋" w:hAnsi="仿宋" w:eastAsia="仿宋" w:cs="仿宋"/>
          <w:b/>
          <w:bCs/>
          <w:color w:val="000000"/>
          <w:kern w:val="0"/>
          <w:sz w:val="32"/>
          <w:szCs w:val="32"/>
          <w:lang w:val="en-US" w:eastAsia="zh-CN" w:bidi="ar"/>
        </w:rPr>
        <w:t>2</w:t>
      </w:r>
      <w:r>
        <w:rPr>
          <w:rFonts w:hint="eastAsia" w:ascii="仿宋" w:hAnsi="仿宋" w:eastAsia="仿宋" w:cs="仿宋"/>
          <w:color w:val="000000"/>
          <w:kern w:val="0"/>
          <w:sz w:val="32"/>
          <w:szCs w:val="32"/>
          <w:lang w:val="en-US" w:eastAsia="zh-CN" w:bidi="ar"/>
        </w:rPr>
        <w:t xml:space="preserve">.配套条件。巴彦淖尔在电网架构方面有一定优势。 </w:t>
      </w:r>
      <w:r>
        <w:rPr>
          <w:rFonts w:hint="eastAsia" w:ascii="仿宋" w:hAnsi="仿宋" w:eastAsia="仿宋" w:cs="仿宋"/>
          <w:b/>
          <w:bCs/>
          <w:color w:val="000000"/>
          <w:kern w:val="0"/>
          <w:sz w:val="32"/>
          <w:szCs w:val="32"/>
          <w:lang w:val="en-US" w:eastAsia="zh-CN" w:bidi="ar"/>
        </w:rPr>
        <w:t>3</w:t>
      </w:r>
      <w:r>
        <w:rPr>
          <w:rFonts w:hint="eastAsia" w:ascii="仿宋" w:hAnsi="仿宋" w:eastAsia="仿宋" w:cs="仿宋"/>
          <w:color w:val="000000"/>
          <w:kern w:val="0"/>
          <w:sz w:val="32"/>
          <w:szCs w:val="32"/>
          <w:lang w:val="en-US" w:eastAsia="zh-CN" w:bidi="ar"/>
        </w:rPr>
        <w:t xml:space="preserve">.项目的建设可为乌拉特后旗盾安光伏科技、乌拉特前旗东立光伏、磴口神舟光伏电力以及阿拉善庆华集团新能光伏、包头中利腾晖光伏、乌兰察布国电商都县光伏等周边企业缩短光伏背板与光伏电厂的距离，有利于降低运输成本。4.开发区生产要素齐备，项目所需建设用地 9.9 万元/亩、自来水 2 元/吨、污水处理费 1.4 元/吨、大工业用电0.26-0.45 元/千瓦时，生产要素价格最低。 </w:t>
      </w:r>
    </w:p>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建设内容：</w:t>
      </w:r>
      <w:r>
        <w:rPr>
          <w:rFonts w:hint="eastAsia" w:ascii="仿宋" w:hAnsi="仿宋" w:eastAsia="仿宋" w:cs="仿宋"/>
          <w:color w:val="000000"/>
          <w:kern w:val="0"/>
          <w:sz w:val="32"/>
          <w:szCs w:val="32"/>
          <w:lang w:val="en-US" w:eastAsia="zh-CN" w:bidi="ar"/>
        </w:rPr>
        <w:t xml:space="preserve">年产 1000 万平米光伏背板制造、光伏支架制造项目。 </w:t>
      </w:r>
    </w:p>
    <w:p>
      <w:pPr>
        <w:keepNext w:val="0"/>
        <w:keepLines w:val="0"/>
        <w:widowControl/>
        <w:suppressLineNumbers w:val="0"/>
        <w:jc w:val="left"/>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投资和技术经济指标估算： </w:t>
      </w:r>
    </w:p>
    <w:p>
      <w:pPr>
        <w:keepNext w:val="0"/>
        <w:keepLines w:val="0"/>
        <w:widowControl/>
        <w:suppressLineNumbers w:val="0"/>
        <w:jc w:val="left"/>
        <w:rPr>
          <w:rFonts w:hint="eastAsia" w:ascii="仿宋" w:hAnsi="仿宋" w:eastAsia="仿宋" w:cs="仿宋"/>
          <w:b/>
          <w:bCs/>
          <w:color w:val="000000"/>
          <w:kern w:val="0"/>
          <w:sz w:val="32"/>
          <w:szCs w:val="32"/>
          <w:lang w:val="en-US" w:eastAsia="zh-CN" w:bidi="ar"/>
        </w:rPr>
      </w:pPr>
      <w:r>
        <w:rPr>
          <w:rFonts w:ascii="仿宋" w:hAnsi="仿宋" w:eastAsia="仿宋" w:cs="仿宋"/>
          <w:color w:val="000000"/>
          <w:kern w:val="0"/>
          <w:sz w:val="32"/>
          <w:szCs w:val="32"/>
          <w:lang w:val="en-US" w:eastAsia="zh-CN" w:bidi="ar"/>
        </w:rPr>
        <w:t>年产 1000 万平米光伏背板制造项目</w:t>
      </w:r>
    </w:p>
    <w:p>
      <w:pPr>
        <w:keepNext w:val="0"/>
        <w:keepLines w:val="0"/>
        <w:widowControl/>
        <w:suppressLineNumbers w:val="0"/>
        <w:jc w:val="left"/>
        <w:rPr>
          <w:rFonts w:hint="eastAsia" w:ascii="仿宋" w:hAnsi="仿宋" w:eastAsia="仿宋" w:cs="仿宋"/>
          <w:b/>
          <w:bCs/>
          <w:sz w:val="32"/>
          <w:szCs w:val="32"/>
        </w:rPr>
      </w:pPr>
      <w:r>
        <w:rPr>
          <w:rFonts w:hint="default" w:ascii="微软雅黑" w:hAnsi="微软雅黑" w:eastAsia="微软雅黑" w:cs="微软雅黑"/>
          <w:color w:val="000000"/>
          <w:kern w:val="0"/>
          <w:sz w:val="36"/>
          <w:szCs w:val="36"/>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1440180</wp:posOffset>
            </wp:positionV>
            <wp:extent cx="5292090" cy="2808605"/>
            <wp:effectExtent l="0" t="0" r="3810" b="10795"/>
            <wp:wrapNone/>
            <wp:docPr id="9" name="图片 9" descr="光伏背板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光伏背板2"/>
                    <pic:cNvPicPr>
                      <a:picLocks noChangeAspect="1"/>
                    </pic:cNvPicPr>
                  </pic:nvPicPr>
                  <pic:blipFill>
                    <a:blip r:embed="rId6"/>
                    <a:stretch>
                      <a:fillRect/>
                    </a:stretch>
                  </pic:blipFill>
                  <pic:spPr>
                    <a:xfrm>
                      <a:off x="0" y="0"/>
                      <a:ext cx="5292090" cy="2808605"/>
                    </a:xfrm>
                    <a:prstGeom prst="rect">
                      <a:avLst/>
                    </a:prstGeom>
                  </pic:spPr>
                </pic:pic>
              </a:graphicData>
            </a:graphic>
          </wp:anchor>
        </w:drawing>
      </w:r>
      <w:r>
        <w:rPr>
          <w:rFonts w:hint="eastAsia" w:ascii="仿宋" w:hAnsi="仿宋" w:eastAsia="仿宋" w:cs="仿宋"/>
          <w:b/>
          <w:bCs/>
          <w:sz w:val="32"/>
          <w:szCs w:val="32"/>
        </w:rPr>
        <w:drawing>
          <wp:inline distT="0" distB="0" distL="114300" distR="114300">
            <wp:extent cx="5269865" cy="1391920"/>
            <wp:effectExtent l="0" t="0" r="6985" b="17780"/>
            <wp:docPr id="7" name="图片 7" descr="光伏背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光伏背板1"/>
                    <pic:cNvPicPr>
                      <a:picLocks noChangeAspect="1"/>
                    </pic:cNvPicPr>
                  </pic:nvPicPr>
                  <pic:blipFill>
                    <a:blip r:embed="rId7"/>
                    <a:stretch>
                      <a:fillRect/>
                    </a:stretch>
                  </pic:blipFill>
                  <pic:spPr>
                    <a:xfrm>
                      <a:off x="0" y="0"/>
                      <a:ext cx="5269865" cy="13919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pStyle w:val="15"/>
        <w:rPr>
          <w:rFonts w:hint="eastAsia" w:ascii="仿宋" w:hAnsi="仿宋" w:eastAsia="仿宋" w:cs="仿宋"/>
          <w:b/>
          <w:bCs/>
          <w:sz w:val="32"/>
          <w:szCs w:val="32"/>
        </w:rPr>
      </w:pPr>
    </w:p>
    <w:p>
      <w:pPr>
        <w:pStyle w:val="15"/>
        <w:rPr>
          <w:rFonts w:hint="eastAsia" w:ascii="仿宋" w:hAnsi="仿宋" w:eastAsia="仿宋" w:cs="仿宋"/>
          <w:b/>
          <w:bCs/>
          <w:sz w:val="32"/>
          <w:szCs w:val="32"/>
        </w:rPr>
      </w:pPr>
    </w:p>
    <w:p>
      <w:pPr>
        <w:pStyle w:val="15"/>
        <w:rPr>
          <w:rFonts w:hint="eastAsia" w:ascii="仿宋" w:hAnsi="仿宋" w:eastAsia="仿宋" w:cs="仿宋"/>
          <w:b/>
          <w:bCs/>
          <w:sz w:val="32"/>
          <w:szCs w:val="32"/>
        </w:rPr>
      </w:pPr>
    </w:p>
    <w:p>
      <w:pPr>
        <w:pStyle w:val="15"/>
        <w:rPr>
          <w:rFonts w:hint="eastAsia" w:ascii="仿宋" w:hAnsi="仿宋" w:eastAsia="仿宋" w:cs="仿宋"/>
          <w:b/>
          <w:bCs/>
          <w:sz w:val="32"/>
          <w:szCs w:val="32"/>
        </w:rPr>
      </w:pPr>
    </w:p>
    <w:p>
      <w:pPr>
        <w:pStyle w:val="15"/>
        <w:rPr>
          <w:rFonts w:hint="eastAsia" w:ascii="仿宋" w:hAnsi="仿宋" w:eastAsia="仿宋" w:cs="仿宋"/>
          <w:b/>
          <w:bCs/>
          <w:sz w:val="32"/>
          <w:szCs w:val="32"/>
        </w:rPr>
      </w:pPr>
    </w:p>
    <w:p>
      <w:pPr>
        <w:pStyle w:val="15"/>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风机叶片及塔架项目</w:t>
      </w:r>
    </w:p>
    <w:p>
      <w:pPr>
        <w:keepNext w:val="0"/>
        <w:keepLines w:val="0"/>
        <w:widowControl/>
        <w:suppressLineNumbers w:val="0"/>
        <w:jc w:val="center"/>
        <w:rPr>
          <w:rFonts w:hint="eastAsia" w:ascii="宋体" w:hAnsi="宋体" w:eastAsia="宋体" w:cs="宋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项目背景：</w:t>
      </w:r>
      <w:r>
        <w:rPr>
          <w:rFonts w:hint="eastAsia" w:ascii="仿宋" w:hAnsi="仿宋" w:eastAsia="仿宋" w:cs="仿宋"/>
          <w:color w:val="000000"/>
          <w:kern w:val="0"/>
          <w:sz w:val="32"/>
          <w:szCs w:val="32"/>
          <w:lang w:val="en-US" w:eastAsia="zh-CN" w:bidi="ar"/>
        </w:rPr>
        <w:t xml:space="preserve">国家能源局发布《风电建设管理有关要求的通知》确定了风电竞争性配置政策，风电全面进入竞价时代。随着政策的实施，将进一步加快风电行业技术进步以及产业升级，风电产业及其细分行业将得到飞速发展。巴彦淖尔地区风力资源良好，就近为当地风电场生产风机叶片及塔架能够减少运输成本从而提高收益。 </w:t>
      </w: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建设条件：1.风力资源充足为叶片企业发展提供了基础条件。</w:t>
      </w:r>
      <w:r>
        <w:rPr>
          <w:rFonts w:hint="eastAsia" w:ascii="仿宋" w:hAnsi="仿宋" w:eastAsia="仿宋" w:cs="仿宋"/>
          <w:color w:val="000000"/>
          <w:kern w:val="0"/>
          <w:sz w:val="32"/>
          <w:szCs w:val="32"/>
          <w:lang w:val="en-US" w:eastAsia="zh-CN" w:bidi="ar"/>
        </w:rPr>
        <w:t>巴彦淖尔有丰富的风能资源，乌拉特草原年平均风速≥3.0 米/秒，风能技术可开发量超过 7000 万千瓦，占内蒙古的 40％，是我国风能资源最丰富的地区之一。且当地能源丰富，电价低廉，大大降低了工厂的运营成本，也为玻璃纤维增强材料熔制提供了高温环境。</w:t>
      </w:r>
      <w:r>
        <w:rPr>
          <w:rFonts w:hint="eastAsia" w:ascii="仿宋" w:hAnsi="仿宋" w:eastAsia="仿宋" w:cs="仿宋"/>
          <w:b/>
          <w:bCs/>
          <w:color w:val="000000"/>
          <w:kern w:val="0"/>
          <w:sz w:val="32"/>
          <w:szCs w:val="32"/>
          <w:lang w:val="en-US" w:eastAsia="zh-CN" w:bidi="ar"/>
        </w:rPr>
        <w:t>2.良好的交通运输条件降低了各类原材料运输成本。</w:t>
      </w:r>
      <w:r>
        <w:rPr>
          <w:rFonts w:hint="eastAsia" w:ascii="仿宋" w:hAnsi="仿宋" w:eastAsia="仿宋" w:cs="仿宋"/>
          <w:color w:val="000000"/>
          <w:kern w:val="0"/>
          <w:sz w:val="32"/>
          <w:szCs w:val="32"/>
          <w:lang w:val="en-US" w:eastAsia="zh-CN" w:bidi="ar"/>
        </w:rPr>
        <w:t>巴彦淖尔处于新能源产业以京津为龙头的“呼(市)一包(头)一银(川)一兰(州)”经济带上，是国家西部大开发的重点区域。北与蒙古国有 369 公里长的边境线，是自治区向北开放的前沿。位于乌拉特中旗境内的甘其毛都口岸，是国家类陆路口岸，是连接蒙古国、俄罗斯等国家经济贸易的重要通道。巴彦淖尔交通便利，包兰铁路、110 国道和京藏高速公路横贯全境，天吉泰机场建成运营。</w:t>
      </w:r>
      <w:r>
        <w:rPr>
          <w:rFonts w:hint="eastAsia" w:ascii="仿宋" w:hAnsi="仿宋" w:eastAsia="仿宋" w:cs="仿宋"/>
          <w:b/>
          <w:bCs/>
          <w:color w:val="000000"/>
          <w:kern w:val="0"/>
          <w:sz w:val="32"/>
          <w:szCs w:val="32"/>
          <w:lang w:val="en-US" w:eastAsia="zh-CN" w:bidi="ar"/>
        </w:rPr>
        <w:t xml:space="preserve">3.政策条件加码助力风电产业发展。 </w:t>
      </w:r>
      <w:r>
        <w:rPr>
          <w:rFonts w:hint="eastAsia" w:ascii="仿宋" w:hAnsi="仿宋" w:eastAsia="仿宋" w:cs="仿宋"/>
          <w:color w:val="000000"/>
          <w:kern w:val="0"/>
          <w:sz w:val="32"/>
          <w:szCs w:val="32"/>
          <w:lang w:val="en-US" w:eastAsia="zh-CN" w:bidi="ar"/>
        </w:rPr>
        <w:t>十四五期间，巴彦淖尔市规划1000 万千瓦风电基地，重点建设阿拉善(乌海、巴彦淖尔)包头北(巴彦淖尔)、鄂尔多斯(巴彦淖尔、乌海、阿拉善)、乌兰察布(呼和浩特)、锡林郭勒、赤峰、通辽、呼伦贝尔(兴安)等八大新能源基地。采取风火打捆、风光互补、风电供热等多种措施，提高风电光电消纳比重。</w:t>
      </w:r>
      <w:r>
        <w:rPr>
          <w:rFonts w:hint="eastAsia" w:ascii="仿宋" w:hAnsi="仿宋" w:eastAsia="仿宋" w:cs="仿宋"/>
          <w:b/>
          <w:bCs/>
          <w:color w:val="000000"/>
          <w:kern w:val="0"/>
          <w:sz w:val="32"/>
          <w:szCs w:val="32"/>
          <w:lang w:val="en-US" w:eastAsia="zh-CN" w:bidi="ar"/>
        </w:rPr>
        <w:t>4.具有一定的产业基础。</w:t>
      </w:r>
      <w:r>
        <w:rPr>
          <w:rFonts w:hint="eastAsia" w:ascii="仿宋" w:hAnsi="仿宋" w:eastAsia="仿宋" w:cs="仿宋"/>
          <w:color w:val="000000"/>
          <w:kern w:val="0"/>
          <w:sz w:val="32"/>
          <w:szCs w:val="32"/>
          <w:lang w:val="en-US" w:eastAsia="zh-CN" w:bidi="ar"/>
        </w:rPr>
        <w:t xml:space="preserve">项目可以与园区内已有四华风电风电机组项目、远景能源智能风机装备制造项目、天顺风能风机塔筒制造项目、首欣集团风机总装项目形成完善的产业链。工业电价非常优惠，生产要素价格最低。 </w:t>
      </w: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建设内容：</w:t>
      </w:r>
      <w:r>
        <w:rPr>
          <w:rFonts w:hint="eastAsia" w:ascii="仿宋" w:hAnsi="仿宋" w:eastAsia="仿宋" w:cs="仿宋"/>
          <w:color w:val="000000"/>
          <w:kern w:val="0"/>
          <w:sz w:val="32"/>
          <w:szCs w:val="32"/>
          <w:lang w:val="en-US" w:eastAsia="zh-CN" w:bidi="ar"/>
        </w:rPr>
        <w:t xml:space="preserve">年产 200MW 的风机叶片、年产 500MW 的风机塔架项目。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投资和技术经济指标估算： </w:t>
      </w:r>
      <w:r>
        <w:rPr>
          <w:rFonts w:hint="eastAsia" w:ascii="仿宋" w:hAnsi="仿宋" w:eastAsia="仿宋" w:cs="仿宋"/>
          <w:color w:val="000000"/>
          <w:kern w:val="0"/>
          <w:sz w:val="32"/>
          <w:szCs w:val="32"/>
          <w:lang w:val="en-US" w:eastAsia="zh-CN" w:bidi="ar"/>
        </w:rPr>
        <w:t xml:space="preserve"> </w:t>
      </w:r>
      <w:r>
        <w:rPr>
          <w:rFonts w:hint="eastAsia" w:ascii="仿宋" w:hAnsi="仿宋" w:eastAsia="仿宋" w:cs="仿宋"/>
          <w:sz w:val="32"/>
          <w:szCs w:val="32"/>
        </w:rPr>
        <w:drawing>
          <wp:inline distT="0" distB="0" distL="114300" distR="114300">
            <wp:extent cx="5269865" cy="1109345"/>
            <wp:effectExtent l="0" t="0" r="6985" b="14605"/>
            <wp:docPr id="10" name="图片 10" descr="风机叶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风机叶片1"/>
                    <pic:cNvPicPr>
                      <a:picLocks noChangeAspect="1"/>
                    </pic:cNvPicPr>
                  </pic:nvPicPr>
                  <pic:blipFill>
                    <a:blip r:embed="rId8"/>
                    <a:stretch>
                      <a:fillRect/>
                    </a:stretch>
                  </pic:blipFill>
                  <pic:spPr>
                    <a:xfrm>
                      <a:off x="0" y="0"/>
                      <a:ext cx="5269865" cy="1109345"/>
                    </a:xfrm>
                    <a:prstGeom prst="rect">
                      <a:avLst/>
                    </a:prstGeom>
                  </pic:spPr>
                </pic:pic>
              </a:graphicData>
            </a:graphic>
          </wp:inline>
        </w:drawing>
      </w:r>
    </w:p>
    <w:p>
      <w:pPr>
        <w:keepNext w:val="0"/>
        <w:keepLines w:val="0"/>
        <w:widowControl/>
        <w:suppressLineNumbers w:val="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269230" cy="3411220"/>
            <wp:effectExtent l="0" t="0" r="7620" b="17780"/>
            <wp:docPr id="11" name="图片 11" descr="风机叶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风机叶片2"/>
                    <pic:cNvPicPr>
                      <a:picLocks noChangeAspect="1"/>
                    </pic:cNvPicPr>
                  </pic:nvPicPr>
                  <pic:blipFill>
                    <a:blip r:embed="rId9"/>
                    <a:stretch>
                      <a:fillRect/>
                    </a:stretch>
                  </pic:blipFill>
                  <pic:spPr>
                    <a:xfrm>
                      <a:off x="0" y="0"/>
                      <a:ext cx="5269230" cy="34112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宋体" w:hAnsi="宋体" w:eastAsia="宋体" w:cs="宋体"/>
          <w:color w:val="000000"/>
          <w:kern w:val="0"/>
          <w:sz w:val="44"/>
          <w:szCs w:val="44"/>
          <w:lang w:val="en-US" w:eastAsia="zh-CN" w:bidi="ar"/>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风电塔筒法兰项目</w:t>
      </w:r>
    </w:p>
    <w:p>
      <w:pPr>
        <w:keepNext w:val="0"/>
        <w:keepLines w:val="0"/>
        <w:widowControl/>
        <w:suppressLineNumbers w:val="0"/>
        <w:jc w:val="center"/>
        <w:rPr>
          <w:rFonts w:hint="eastAsia" w:ascii="宋体" w:hAnsi="宋体" w:eastAsia="宋体" w:cs="宋体"/>
          <w:color w:val="000000"/>
          <w:kern w:val="0"/>
          <w:sz w:val="44"/>
          <w:szCs w:val="44"/>
          <w:lang w:val="en-US" w:eastAsia="zh-CN" w:bidi="ar"/>
        </w:rPr>
      </w:pP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项目背景：</w:t>
      </w:r>
      <w:r>
        <w:rPr>
          <w:rFonts w:hint="eastAsia" w:ascii="仿宋" w:hAnsi="仿宋" w:eastAsia="仿宋" w:cs="仿宋"/>
          <w:color w:val="000000"/>
          <w:kern w:val="0"/>
          <w:sz w:val="32"/>
          <w:szCs w:val="32"/>
          <w:lang w:val="en-US" w:eastAsia="zh-CN" w:bidi="ar"/>
        </w:rPr>
        <w:t xml:space="preserve">风电塔筒法兰是风电塔筒的关键连接件、支撑件和受力件，是风力发电设备的重要部件，对生产制造有严格的要求。随着风力发电的迅猛增长，市场对风电塔筒的需求量也越来越大，而作为风电塔筒关键连接件的塔筒法兰也越来越受到重视。作为连接件的塔筒法兰能够就地为巴彦淖尔塔筒制造企业服务与生产，既可以提高整个产业链的效率，也更能适配企业所制造的塔筒。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建设条件：</w:t>
      </w:r>
      <w:r>
        <w:rPr>
          <w:rFonts w:hint="eastAsia" w:ascii="仿宋" w:hAnsi="仿宋" w:eastAsia="仿宋" w:cs="仿宋"/>
          <w:color w:val="000000"/>
          <w:kern w:val="0"/>
          <w:sz w:val="32"/>
          <w:szCs w:val="32"/>
          <w:lang w:val="en-US" w:eastAsia="zh-CN" w:bidi="ar"/>
        </w:rPr>
        <w:t xml:space="preserve">1.巴彦淖尔处于以京津为龙头的“呼(市)一包(头)一银(川)一兰 (州)”经济带上，是国家西部大开发的重点区域。临近包头钢铁厂，主要材料可以从包头采购。2.项目可以与园区内已有四华风电风电机组项目、远景能源智能风机装备制造项目、天顺风能风机塔筒制造项目、首欣集团风机总装项目形成完善的产业链。3.我区生产要素齐备，项目所需建设用地 9.8万元/亩、自来水 2元/吨、污水处理费0.95元/吨、大工业用电 0.26-0.45 元/千瓦时，生产要素价格最低。 </w:t>
      </w:r>
    </w:p>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建设内容：</w:t>
      </w:r>
      <w:r>
        <w:rPr>
          <w:rFonts w:hint="eastAsia" w:ascii="仿宋" w:hAnsi="仿宋" w:eastAsia="仿宋" w:cs="仿宋"/>
          <w:color w:val="000000"/>
          <w:kern w:val="0"/>
          <w:sz w:val="32"/>
          <w:szCs w:val="32"/>
          <w:lang w:val="en-US" w:eastAsia="zh-CN" w:bidi="ar"/>
        </w:rPr>
        <w:t xml:space="preserve">年产 500 吨塔筒法兰项目。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四、投资和技术经济指标估算</w:t>
      </w:r>
      <w:r>
        <w:rPr>
          <w:rFonts w:hint="eastAsia" w:ascii="仿宋" w:hAnsi="仿宋" w:eastAsia="仿宋" w:cs="仿宋"/>
          <w:color w:val="000000"/>
          <w:kern w:val="0"/>
          <w:sz w:val="32"/>
          <w:szCs w:val="32"/>
          <w:lang w:val="en-US" w:eastAsia="zh-CN" w:bidi="ar"/>
        </w:rPr>
        <w:t xml:space="preserve"> </w:t>
      </w:r>
      <w:r>
        <w:rPr>
          <w:rFonts w:hint="eastAsia" w:ascii="仿宋" w:hAnsi="仿宋" w:eastAsia="仿宋" w:cs="仿宋"/>
          <w:sz w:val="32"/>
          <w:szCs w:val="32"/>
        </w:rPr>
        <w:drawing>
          <wp:inline distT="0" distB="0" distL="114300" distR="114300">
            <wp:extent cx="5273675" cy="2050415"/>
            <wp:effectExtent l="0" t="0" r="3175" b="6985"/>
            <wp:docPr id="12" name="图片 12" descr="风电塔筒法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风电塔筒法兰"/>
                    <pic:cNvPicPr>
                      <a:picLocks noChangeAspect="1"/>
                    </pic:cNvPicPr>
                  </pic:nvPicPr>
                  <pic:blipFill>
                    <a:blip r:embed="rId10"/>
                    <a:stretch>
                      <a:fillRect/>
                    </a:stretch>
                  </pic:blipFill>
                  <pic:spPr>
                    <a:xfrm>
                      <a:off x="0" y="0"/>
                      <a:ext cx="5273675" cy="20504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宋体" w:hAnsi="宋体" w:eastAsia="宋体" w:cs="宋体"/>
          <w:color w:val="000000"/>
          <w:kern w:val="0"/>
          <w:sz w:val="44"/>
          <w:szCs w:val="44"/>
          <w:lang w:val="en-US" w:eastAsia="zh-CN" w:bidi="ar"/>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5"/>
        <w:rPr>
          <w:rFonts w:hint="eastAsia" w:ascii="宋体" w:hAnsi="宋体" w:eastAsia="宋体" w:cs="宋体"/>
          <w:b/>
          <w:bCs/>
          <w:kern w:val="44"/>
          <w:sz w:val="44"/>
          <w:szCs w:val="44"/>
        </w:rPr>
      </w:pPr>
    </w:p>
    <w:p>
      <w:pPr>
        <w:pStyle w:val="15"/>
        <w:rPr>
          <w:rFonts w:hint="eastAsia" w:ascii="宋体" w:hAnsi="宋体" w:eastAsia="宋体" w:cs="宋体"/>
          <w:b/>
          <w:bCs/>
          <w:kern w:val="44"/>
          <w:sz w:val="44"/>
          <w:szCs w:val="44"/>
        </w:rPr>
      </w:pPr>
    </w:p>
    <w:p>
      <w:pPr>
        <w:pStyle w:val="15"/>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石墨烯三元正极材料项目</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项目背景</w:t>
      </w:r>
      <w:r>
        <w:rPr>
          <w:rFonts w:hint="eastAsia" w:ascii="仿宋" w:hAnsi="仿宋" w:eastAsia="仿宋" w:cs="仿宋"/>
          <w:color w:val="000000"/>
          <w:kern w:val="0"/>
          <w:sz w:val="32"/>
          <w:szCs w:val="32"/>
          <w:lang w:val="en-US" w:eastAsia="zh-CN" w:bidi="ar"/>
        </w:rPr>
        <w:t xml:space="preserve">：新能源汽车是国家大力发展的战略性新兴产业之一，动力锂电池汽车是目前市场上的主流新能源汽车，且未来发展潜力巨大。正极材料是制造锂离子电池的关键材料之一，占据电池成本的 25%以上，其性能直接影响了电池的各项性能指标，在锂离子电池中占据核心地位，也是影响电池性能和价格的重要因素。镍钴锰酸锂三元材料是未来 5 年研发和产业化的主流．根据其应用领域的不同，分别向高镍化、高密度化和高电压化发展。高镍含量的三元材料其结构稳定性和热稳定性较差，对环境要求很苛刻尽管其可逆比容量在同等充电电压下更高一些。根据 GGI调研数据，2018 年我国 NCM 三元正极材料的市场规模达 230 亿元，同比增长 33%。预计 2022 年中国 NCM 三元正极材料的市场规模将突破 600 亿元。2018 年我国锂电池正极材料市场总产值达 535 亿元，同比增长27.66%。因此，发展三元正极材料具有可行性。 </w:t>
      </w: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建设条件：</w:t>
      </w:r>
      <w:r>
        <w:rPr>
          <w:rFonts w:hint="eastAsia" w:ascii="仿宋" w:hAnsi="仿宋" w:eastAsia="仿宋" w:cs="仿宋"/>
          <w:color w:val="000000"/>
          <w:kern w:val="0"/>
          <w:sz w:val="32"/>
          <w:szCs w:val="32"/>
          <w:lang w:val="en-US" w:eastAsia="zh-CN" w:bidi="ar"/>
        </w:rPr>
        <w:t xml:space="preserve">1.蒙古国南戈壁省锂矿资源生产的碳酸锂，是生产三元正极材料的主要原料。巴彦淖尔市处于全国著名的狼山一渣尔泰山多金属成矿带上，矿产种类多、储量大、品位高、分布集中、易开采。已发展煤、铜、硫、 铁、铅、锌、金、银、稀土、石墨、石灰石、硅石等矿产 68 种，其中 镍金属保有量 9.23 万吨，占全区第二；其可为三元正极材料的制造提供新能源产业 原材料。另外，累计查计石墨资源量约 5257 万吨，其中晶质石墨矿物量 5107 万吨。2.巴彦淖尔市位于蒙西电网，是全国的电价洼地，在巴彦淖尔市建设三元正极材料生产企业，其具有很大的成本优势。3.生产要素价格最低，设厂可获取较高经济效益。项目所需建设用地 9.8万元/亩、自来水 2 元/吨、污水处理费0.95元/吨、大工业用电0.26-0.45 元/千瓦时。 </w:t>
      </w: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建设内容：</w:t>
      </w:r>
      <w:r>
        <w:rPr>
          <w:rFonts w:hint="eastAsia" w:ascii="仿宋" w:hAnsi="仿宋" w:eastAsia="仿宋" w:cs="仿宋"/>
          <w:color w:val="000000"/>
          <w:kern w:val="0"/>
          <w:sz w:val="32"/>
          <w:szCs w:val="32"/>
          <w:lang w:val="en-US" w:eastAsia="zh-CN" w:bidi="ar"/>
        </w:rPr>
        <w:t xml:space="preserve">以三元前驱体、碳酸锂（氢氧化锂）、石墨烯导电浆为原料，年产1 万吨石墨烯三元正极材料项目。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投资和技术经济指标估算：</w:t>
      </w:r>
      <w:r>
        <w:rPr>
          <w:rFonts w:hint="eastAsia" w:ascii="仿宋" w:hAnsi="仿宋" w:eastAsia="仿宋" w:cs="仿宋"/>
          <w:color w:val="000000"/>
          <w:kern w:val="0"/>
          <w:sz w:val="32"/>
          <w:szCs w:val="32"/>
          <w:lang w:val="en-US" w:eastAsia="zh-CN" w:bidi="ar"/>
        </w:rPr>
        <w:t xml:space="preserve"> </w:t>
      </w:r>
      <w:r>
        <w:rPr>
          <w:rFonts w:hint="eastAsia" w:ascii="仿宋" w:hAnsi="仿宋" w:eastAsia="仿宋" w:cs="仿宋"/>
          <w:sz w:val="32"/>
          <w:szCs w:val="32"/>
        </w:rPr>
        <w:drawing>
          <wp:inline distT="0" distB="0" distL="114300" distR="114300">
            <wp:extent cx="5271770" cy="2324100"/>
            <wp:effectExtent l="0" t="0" r="5080" b="0"/>
            <wp:docPr id="16" name="图片 16" descr="石墨烯三元正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石墨烯三元正极"/>
                    <pic:cNvPicPr>
                      <a:picLocks noChangeAspect="1"/>
                    </pic:cNvPicPr>
                  </pic:nvPicPr>
                  <pic:blipFill>
                    <a:blip r:embed="rId11"/>
                    <a:stretch>
                      <a:fillRect/>
                    </a:stretch>
                  </pic:blipFill>
                  <pic:spPr>
                    <a:xfrm>
                      <a:off x="0" y="0"/>
                      <a:ext cx="5271770" cy="23241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spacing w:line="52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20" w:lineRule="exact"/>
        <w:ind w:right="0" w:rightChars="0" w:firstLine="0" w:firstLineChars="0"/>
        <w:jc w:val="both"/>
        <w:textAlignment w:val="auto"/>
        <w:outlineLvl w:val="9"/>
        <w:rPr>
          <w:rFonts w:hint="eastAsia" w:ascii="宋体" w:hAnsi="宋体" w:eastAsia="宋体" w:cs="宋体"/>
          <w:color w:val="000000"/>
          <w:kern w:val="0"/>
          <w:sz w:val="44"/>
          <w:szCs w:val="44"/>
          <w:lang w:val="en-US" w:eastAsia="zh-CN" w:bidi="ar"/>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widowControl/>
        <w:suppressLineNumbers w:val="0"/>
        <w:jc w:val="left"/>
        <w:rPr>
          <w:rFonts w:hint="default"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both"/>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sz w:val="44"/>
          <w:szCs w:val="44"/>
        </w:rPr>
      </w:pPr>
      <w:r>
        <w:rPr>
          <w:rFonts w:hint="eastAsia" w:ascii="宋体" w:hAnsi="宋体" w:eastAsia="宋体" w:cs="宋体"/>
          <w:b/>
          <w:bCs/>
          <w:color w:val="000000"/>
          <w:kern w:val="0"/>
          <w:sz w:val="44"/>
          <w:szCs w:val="44"/>
          <w:lang w:val="en-US" w:eastAsia="zh-CN" w:bidi="ar"/>
        </w:rPr>
        <w:t>锂离子电池项目</w:t>
      </w:r>
    </w:p>
    <w:p>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auto"/>
        <w:rPr>
          <w:rFonts w:hint="eastAsia" w:ascii="仿宋" w:hAnsi="仿宋" w:eastAsia="仿宋" w:cs="仿宋"/>
          <w:color w:val="000000"/>
          <w:kern w:val="0"/>
          <w:sz w:val="32"/>
          <w:szCs w:val="32"/>
          <w:lang w:val="en-US" w:eastAsia="zh-CN" w:bidi="ar"/>
        </w:rPr>
      </w:pPr>
    </w:p>
    <w:p>
      <w:pPr>
        <w:keepNext w:val="0"/>
        <w:keepLines w:val="0"/>
        <w:pageBreakBefore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项目背景：</w:t>
      </w:r>
      <w:r>
        <w:rPr>
          <w:rFonts w:hint="eastAsia" w:ascii="仿宋" w:hAnsi="仿宋" w:eastAsia="仿宋" w:cs="仿宋"/>
          <w:sz w:val="32"/>
          <w:szCs w:val="32"/>
          <w:lang w:val="en-US" w:eastAsia="zh-CN"/>
        </w:rPr>
        <w:t xml:space="preserve">锂电池是一种性能优良的环保型蓄电池，具有体积小、重量轻、储电密度高等特点，因此是新能源汽车首选动力，未来动力电池的发展方向。动力锂电池在电动汽车领域的应用，不仅能够以电替代石油，减少新能源产业温室气体排放，还可以储存电网谷电。发展新能源汽车产业已经成为汽车产业国家长期的国策，因此，做为新能源汽车的关键零部件，锂电池也将进入一个长期的产业上升通道。根据新能源汽车产业的《路线图》，2017 年-2030 年间，预计 2020 年、2025 年和 2030 年我国新能源乘用车销量对应的动力电池需求量分别为 59GWh、184GWh 和 558GWh，对应动力电池市值达 615 亿、1704 亿和 4596 亿，动力电池 CAGR（复合年均增长率）为 33%。 </w:t>
      </w:r>
    </w:p>
    <w:p>
      <w:pPr>
        <w:keepNext w:val="0"/>
        <w:keepLines w:val="0"/>
        <w:widowControl/>
        <w:suppressLineNumbers w:val="0"/>
        <w:jc w:val="both"/>
        <w:rPr>
          <w:rFonts w:hint="eastAsia"/>
          <w:b/>
          <w:bCs/>
          <w:lang w:val="en-US" w:eastAsia="zh-CN"/>
        </w:rPr>
      </w:pPr>
    </w:p>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b/>
          <w:bCs/>
          <w:sz w:val="32"/>
          <w:szCs w:val="32"/>
          <w:lang w:val="en-US" w:eastAsia="zh-CN"/>
        </w:rPr>
        <w:t>建设条件：</w:t>
      </w:r>
      <w:r>
        <w:rPr>
          <w:rFonts w:hint="eastAsia" w:ascii="仿宋" w:hAnsi="仿宋" w:eastAsia="仿宋" w:cs="仿宋"/>
          <w:sz w:val="32"/>
          <w:szCs w:val="32"/>
          <w:lang w:val="en-US" w:eastAsia="zh-CN"/>
        </w:rPr>
        <w:t>该项目利用蒙古国南戈壁省的锂资源、巴彦淖尔市的各种资源，延伸下游产业链，在甘其毛都口岸加工园打造锂电池产业链。</w:t>
      </w:r>
      <w:r>
        <w:rPr>
          <w:rFonts w:hint="eastAsia" w:ascii="仿宋" w:hAnsi="仿宋" w:eastAsia="仿宋" w:cs="仿宋"/>
          <w:color w:val="000000"/>
          <w:kern w:val="0"/>
          <w:sz w:val="32"/>
          <w:szCs w:val="32"/>
          <w:lang w:val="en-US" w:eastAsia="zh-CN" w:bidi="ar"/>
        </w:rPr>
        <w:drawing>
          <wp:inline distT="0" distB="0" distL="114300" distR="114300">
            <wp:extent cx="5271770" cy="3089910"/>
            <wp:effectExtent l="0" t="0" r="5080" b="15240"/>
            <wp:docPr id="20" name="图片 20" descr="锂离子电池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锂离子电池1"/>
                    <pic:cNvPicPr>
                      <a:picLocks noChangeAspect="1"/>
                    </pic:cNvPicPr>
                  </pic:nvPicPr>
                  <pic:blipFill>
                    <a:blip r:embed="rId12"/>
                    <a:stretch>
                      <a:fillRect/>
                    </a:stretch>
                  </pic:blipFill>
                  <pic:spPr>
                    <a:xfrm>
                      <a:off x="0" y="0"/>
                      <a:ext cx="5271770" cy="3089910"/>
                    </a:xfrm>
                    <a:prstGeom prst="rect">
                      <a:avLst/>
                    </a:prstGeom>
                  </pic:spPr>
                </pic:pic>
              </a:graphicData>
            </a:graphic>
          </wp:inline>
        </w:drawing>
      </w:r>
    </w:p>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drawing>
          <wp:inline distT="0" distB="0" distL="114300" distR="114300">
            <wp:extent cx="5274310" cy="5295900"/>
            <wp:effectExtent l="0" t="0" r="2540" b="0"/>
            <wp:docPr id="21" name="图片 21" descr="锂离子电池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锂离子电池2"/>
                    <pic:cNvPicPr>
                      <a:picLocks noChangeAspect="1"/>
                    </pic:cNvPicPr>
                  </pic:nvPicPr>
                  <pic:blipFill>
                    <a:blip r:embed="rId13"/>
                    <a:stretch>
                      <a:fillRect/>
                    </a:stretch>
                  </pic:blipFill>
                  <pic:spPr>
                    <a:xfrm>
                      <a:off x="0" y="0"/>
                      <a:ext cx="5274310" cy="5295900"/>
                    </a:xfrm>
                    <a:prstGeom prst="rect">
                      <a:avLst/>
                    </a:prstGeom>
                  </pic:spPr>
                </pic:pic>
              </a:graphicData>
            </a:graphic>
          </wp:inline>
        </w:drawing>
      </w:r>
      <w:r>
        <w:rPr>
          <w:rFonts w:hint="eastAsia" w:ascii="仿宋" w:hAnsi="仿宋" w:eastAsia="仿宋" w:cs="仿宋"/>
          <w:color w:val="000000"/>
          <w:kern w:val="0"/>
          <w:sz w:val="32"/>
          <w:szCs w:val="32"/>
          <w:lang w:val="en-US" w:eastAsia="zh-CN" w:bidi="ar"/>
        </w:rPr>
        <w:drawing>
          <wp:inline distT="0" distB="0" distL="114300" distR="114300">
            <wp:extent cx="3800475" cy="3562350"/>
            <wp:effectExtent l="0" t="0" r="9525" b="0"/>
            <wp:docPr id="22" name="图片 22" descr="锂离子电池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锂离子电池3"/>
                    <pic:cNvPicPr>
                      <a:picLocks noChangeAspect="1"/>
                    </pic:cNvPicPr>
                  </pic:nvPicPr>
                  <pic:blipFill>
                    <a:blip r:embed="rId14"/>
                    <a:stretch>
                      <a:fillRect/>
                    </a:stretch>
                  </pic:blipFill>
                  <pic:spPr>
                    <a:xfrm>
                      <a:off x="0" y="0"/>
                      <a:ext cx="3800475" cy="3562350"/>
                    </a:xfrm>
                    <a:prstGeom prst="rect">
                      <a:avLst/>
                    </a:prstGeom>
                  </pic:spPr>
                </pic:pic>
              </a:graphicData>
            </a:graphic>
          </wp:inline>
        </w:drawing>
      </w:r>
    </w:p>
    <w:p>
      <w:pPr>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三元电池占比不断提升。按照正极材料的不同，动力电池主要可以分为三元体系、磷酸铁锂体系和其他体系（锰酸锂等），其中三元体系电池尤其是高镍三元电池由于能量密度更高、单位容量成本更低，近年来在电动乘用车的迅猛发展下受到产业界认可，占比不断提升。2016-2018 年，三元电池产量占比由 44%提升至 79%，装机量占比则由 23%提升至 58%。</w:t>
      </w:r>
      <w:r>
        <w:rPr>
          <w:rFonts w:hint="eastAsia" w:ascii="仿宋" w:hAnsi="仿宋" w:eastAsia="仿宋" w:cs="仿宋"/>
          <w:color w:val="000000"/>
          <w:kern w:val="0"/>
          <w:sz w:val="32"/>
          <w:szCs w:val="32"/>
          <w:lang w:val="en-US" w:eastAsia="zh-CN" w:bidi="ar"/>
        </w:rPr>
        <w:drawing>
          <wp:inline distT="0" distB="0" distL="114300" distR="114300">
            <wp:extent cx="5268595" cy="2021840"/>
            <wp:effectExtent l="0" t="0" r="8255" b="16510"/>
            <wp:docPr id="23" name="图片 23" descr="锂离子电池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锂离子电池4"/>
                    <pic:cNvPicPr>
                      <a:picLocks noChangeAspect="1"/>
                    </pic:cNvPicPr>
                  </pic:nvPicPr>
                  <pic:blipFill>
                    <a:blip r:embed="rId15"/>
                    <a:stretch>
                      <a:fillRect/>
                    </a:stretch>
                  </pic:blipFill>
                  <pic:spPr>
                    <a:xfrm>
                      <a:off x="0" y="0"/>
                      <a:ext cx="5268595" cy="202184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48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color w:val="000000"/>
          <w:kern w:val="0"/>
          <w:sz w:val="32"/>
          <w:szCs w:val="32"/>
          <w:lang w:val="en-US" w:eastAsia="zh-CN" w:bidi="ar"/>
        </w:rPr>
        <w:t>2017 年前 5 家动力锂离子电池企业装机量 222.66 亿瓦时，占锂离子电池装机量的 60.3%，前 20 家企业装机量 314.75 亿瓦时，占锂离子电池装机量的 85.3%。前 30 家企业总装机量为 339.17 亿瓦时，占锂离子电池装机量的 91.9%。宁德时代新能源科技股份有限公司以 105.07 亿瓦时位居第一，惠州比亚迪电池有限公司以 56.46 亿瓦时排名第二。</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建设内容：</w:t>
      </w:r>
      <w:r>
        <w:rPr>
          <w:rFonts w:hint="eastAsia" w:ascii="仿宋" w:hAnsi="仿宋" w:eastAsia="仿宋" w:cs="仿宋"/>
          <w:color w:val="000000"/>
          <w:kern w:val="0"/>
          <w:sz w:val="32"/>
          <w:szCs w:val="32"/>
          <w:lang w:val="en-US" w:eastAsia="zh-CN" w:bidi="ar"/>
        </w:rPr>
        <w:t xml:space="preserve">建设 10 条锂电池生产线，形成年产 5 亿 Ah 锂离子电池的生产规模，其中分别年产 3 亿 Ah 动力型锂离子电池和 2 亿 Ah 的储能用锂离子电池。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1.高功率动力型聚合物锂离子电池。应用领域：电动汽车、电动摩托、电动自行车、航模、船模、电动工具等。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2.大容量聚合物锂离子电池。应用领域：笔记本电脑、数码摄像机、移动 DVD、移动视频等。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3.中小容量聚合物锂离子电池。应用领域为：手机、PDA、数码相机、GPS 导航仪、掌上游戏机、智能玩具等。 </w:t>
      </w:r>
    </w:p>
    <w:p>
      <w:pPr>
        <w:keepNext w:val="0"/>
        <w:keepLines w:val="0"/>
        <w:widowControl/>
        <w:suppressLineNumbers w:val="0"/>
        <w:jc w:val="left"/>
        <w:rPr>
          <w:rFonts w:hint="eastAsia" w:ascii="仿宋" w:hAnsi="仿宋" w:eastAsia="仿宋" w:cs="仿宋"/>
          <w:b/>
          <w:bCs/>
          <w:sz w:val="32"/>
          <w:szCs w:val="32"/>
        </w:rPr>
      </w:pPr>
      <w:r>
        <w:rPr>
          <w:rFonts w:hint="eastAsia" w:ascii="仿宋" w:hAnsi="仿宋" w:eastAsia="仿宋" w:cs="仿宋"/>
          <w:b/>
          <w:bCs/>
          <w:color w:val="000000"/>
          <w:kern w:val="0"/>
          <w:sz w:val="32"/>
          <w:szCs w:val="32"/>
          <w:lang w:val="en-US" w:eastAsia="zh-CN" w:bidi="ar"/>
        </w:rPr>
        <w:t xml:space="preserve">投资和技术经济指标估算： </w:t>
      </w:r>
      <w:r>
        <w:rPr>
          <w:rFonts w:hint="eastAsia" w:ascii="仿宋" w:hAnsi="仿宋" w:eastAsia="仿宋" w:cs="仿宋"/>
          <w:b/>
          <w:bCs/>
          <w:sz w:val="32"/>
          <w:szCs w:val="32"/>
        </w:rPr>
        <w:drawing>
          <wp:inline distT="0" distB="0" distL="114300" distR="114300">
            <wp:extent cx="5271770" cy="1591310"/>
            <wp:effectExtent l="0" t="0" r="5080" b="8890"/>
            <wp:docPr id="17" name="图片 17" descr="锂离子指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锂离子指标"/>
                    <pic:cNvPicPr>
                      <a:picLocks noChangeAspect="1"/>
                    </pic:cNvPicPr>
                  </pic:nvPicPr>
                  <pic:blipFill>
                    <a:blip r:embed="rId16"/>
                    <a:stretch>
                      <a:fillRect/>
                    </a:stretch>
                  </pic:blipFill>
                  <pic:spPr>
                    <a:xfrm>
                      <a:off x="0" y="0"/>
                      <a:ext cx="5271770" cy="15913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widowControl/>
        <w:suppressLineNumbers w:val="0"/>
        <w:jc w:val="center"/>
        <w:rPr>
          <w:rFonts w:hint="eastAsia" w:ascii="宋体" w:hAnsi="宋体" w:eastAsia="宋体" w:cs="宋体"/>
          <w:b/>
          <w:bCs/>
          <w:sz w:val="44"/>
          <w:szCs w:val="44"/>
        </w:rPr>
      </w:pPr>
      <w:r>
        <w:rPr>
          <w:rFonts w:hint="eastAsia" w:ascii="宋体" w:hAnsi="宋体" w:eastAsia="宋体" w:cs="宋体"/>
          <w:b/>
          <w:bCs/>
          <w:color w:val="000000"/>
          <w:kern w:val="0"/>
          <w:sz w:val="44"/>
          <w:szCs w:val="44"/>
          <w:lang w:val="en-US" w:eastAsia="zh-CN" w:bidi="ar"/>
        </w:rPr>
        <w:t>石墨烯芯片项目</w:t>
      </w: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项目背景：</w:t>
      </w:r>
      <w:r>
        <w:rPr>
          <w:rFonts w:hint="eastAsia" w:ascii="仿宋" w:hAnsi="仿宋" w:eastAsia="仿宋" w:cs="仿宋"/>
          <w:color w:val="000000"/>
          <w:kern w:val="0"/>
          <w:sz w:val="32"/>
          <w:szCs w:val="32"/>
          <w:lang w:val="en-US" w:eastAsia="zh-CN" w:bidi="ar"/>
        </w:rPr>
        <w:t xml:space="preserve">石墨烯电子迁移速度极快（室温下可达 20 万㎡/V•s，是硅的 100 倍），可以制作速度达 THz 级别的晶体管，因此可用来替代硅，作为新一代超级计算机的芯片材料。石墨烯做的晶体管具有更高的效率，更快的运行速度并且能耗更低。目前集成电路晶体管普遍采用硅材料制造，但是，当硅材料尺寸小于 10 纳米时，制造出的晶体管的稳定性将没有保障。石墨烯高度稳定，甚至只有一个六圆环存在的情况下仍会稳定存在。因此即使石墨烯切割成只有 1 纳米宽的元件，其导电性也很好，而且制备出的晶体管尺寸越小，性能越好。石墨烯的运行速度可达太赫兹。在现有材料和技术条件下，产生 4—5GHz 以上的频率难度都相当高。由于电子在石墨烯电路中的运行速度远高于硅，石墨烯电路可以运行在比 硅电路高得多的频率上，比如 100GHz 甚至 1THz。石墨烯在半导体材料中的应用属于高级应用，目前仅少数顶尖公司具备该项研发生产能力，其中技术领先的企业是韩国三星和美国 IBM 公司。 </w:t>
      </w: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建设条件：1.石墨储量大、品质好。</w:t>
      </w:r>
      <w:r>
        <w:rPr>
          <w:rFonts w:hint="eastAsia" w:ascii="仿宋" w:hAnsi="仿宋" w:eastAsia="仿宋" w:cs="仿宋"/>
          <w:color w:val="000000"/>
          <w:kern w:val="0"/>
          <w:sz w:val="32"/>
          <w:szCs w:val="32"/>
          <w:lang w:val="en-US" w:eastAsia="zh-CN" w:bidi="ar"/>
        </w:rPr>
        <w:t xml:space="preserve">巴彦淖尔市是内蒙古自治区西部重要的石墨资源成矿区之一，已查明石墨矿产地 20 处，其中大型矿床 8 处，中型矿床 2 处，小型矿床 8 处，矿点 2 处。累计查明石墨资源储量(矿物量) 约 5257 万吨，其中晶质石墨矿物量 5107 万吨，隐晶质石墨矿物量 150 万吨，占全国石墨保有资源储量的 13.6%，有望成为中国最大的石墨矿富集区。巴彦淖尔经济技术开发区处于各大石墨矿的交汇点，往西约 330公里有阿拉善左旗境内 703 万吨的查汗木胡鲁石墨矿，往东有包头、呼和浩特至集宁、兴和一带石墨矿;距乌拉特中旗各大石墨矿 50—200 公里，距乌拉特前旗石墨矿区 180 多公里，距乌拉特后旗石墨矿 160 多公里，周边地区的石墨矿开采后，都可距集在此深加工，产品外运条件便捷。同时，石墨矿区周围水、电、路基础设施齐全，具备了开采石墨资源的条件。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2.电力资源富余、电价低。</w:t>
      </w:r>
      <w:r>
        <w:rPr>
          <w:rFonts w:hint="eastAsia" w:ascii="仿宋" w:hAnsi="仿宋" w:eastAsia="仿宋" w:cs="仿宋"/>
          <w:color w:val="000000"/>
          <w:kern w:val="0"/>
          <w:sz w:val="32"/>
          <w:szCs w:val="32"/>
          <w:lang w:val="en-US" w:eastAsia="zh-CN" w:bidi="ar"/>
        </w:rPr>
        <w:t xml:space="preserve">电费成本是总成本的主要构成之一，处于全国唯一省管电网——蒙西电网的主网架中，电力装机居全国首位，并且形成了全国第一家省级电网独立输配电价格体系，输配电价可直接进行电力市场交易，对电力需求较大的企业，还可按电力多边交易实施直供电价格，大工业电价 0.26-0.45 元/千瓦时，是全国的电价洼地。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3.建设成本低廉。</w:t>
      </w:r>
      <w:r>
        <w:rPr>
          <w:rFonts w:hint="eastAsia" w:ascii="仿宋" w:hAnsi="仿宋" w:eastAsia="仿宋" w:cs="仿宋"/>
          <w:b w:val="0"/>
          <w:bCs w:val="0"/>
          <w:color w:val="000000"/>
          <w:kern w:val="0"/>
          <w:sz w:val="32"/>
          <w:szCs w:val="32"/>
          <w:lang w:val="en-US" w:eastAsia="zh-CN" w:bidi="ar"/>
        </w:rPr>
        <w:t>我</w:t>
      </w:r>
      <w:r>
        <w:rPr>
          <w:rFonts w:hint="eastAsia" w:ascii="仿宋" w:hAnsi="仿宋" w:eastAsia="仿宋" w:cs="仿宋"/>
          <w:color w:val="000000"/>
          <w:kern w:val="0"/>
          <w:sz w:val="32"/>
          <w:szCs w:val="32"/>
          <w:lang w:val="en-US" w:eastAsia="zh-CN" w:bidi="ar"/>
        </w:rPr>
        <w:t xml:space="preserve">区工业用地土地出让金9.8万元/亩，投资数额大、科技含量高的项目可实行“一事一议”的灵活土地政策。劳动力成本低，生产工人人均月工资为 2500 元，技术人员人均月工资为 3500 元，管理人员人均月工资为 4800 元。 </w:t>
      </w: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建设内容：</w:t>
      </w:r>
      <w:r>
        <w:rPr>
          <w:rFonts w:hint="eastAsia" w:ascii="仿宋" w:hAnsi="仿宋" w:eastAsia="仿宋" w:cs="仿宋"/>
          <w:color w:val="000000"/>
          <w:kern w:val="0"/>
          <w:sz w:val="32"/>
          <w:szCs w:val="32"/>
          <w:lang w:val="en-US" w:eastAsia="zh-CN" w:bidi="ar"/>
        </w:rPr>
        <w:t>石墨烯芯片孵化项目。</w:t>
      </w:r>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农机制造项目</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项目概况：</w:t>
      </w:r>
      <w:r>
        <w:rPr>
          <w:rFonts w:hint="eastAsia" w:ascii="仿宋" w:hAnsi="仿宋" w:eastAsia="仿宋" w:cs="仿宋"/>
          <w:color w:val="000000"/>
          <w:kern w:val="0"/>
          <w:sz w:val="32"/>
          <w:szCs w:val="32"/>
          <w:lang w:val="en-US" w:eastAsia="zh-CN" w:bidi="ar"/>
        </w:rPr>
        <w:t xml:space="preserve">农业机械在保证粮食增产、推动种植业发展和农业科技进步中，有极其重要的地位和作用。巴彦淖尔是传统的农业大市，玉米、番茄等是主要农作物。在农业机械广泛应用于农业生产的新时期，农作物的耕、种、收的全程机械化作业至关重要。同时使用农业机械可大量节约采摘费、人员管理费、装车费等成本。使用机械代替人工不仅节约了采收时间、降低了投入成本、而且还提高了综合效益。随着农业机械化有序推进，制造高效率和功能可靠的农业机械产品，对进一步提升种植及采摘效率至关重要。 </w:t>
      </w:r>
    </w:p>
    <w:p>
      <w:pPr>
        <w:keepNext w:val="0"/>
        <w:keepLines w:val="0"/>
        <w:pageBreakBefore w:val="0"/>
        <w:widowControl/>
        <w:suppressLineNumbers w:val="0"/>
        <w:kinsoku/>
        <w:wordWrap/>
        <w:overflowPunct/>
        <w:topLinePunct w:val="0"/>
        <w:autoSpaceDE/>
        <w:autoSpaceDN/>
        <w:bidi w:val="0"/>
        <w:adjustRightIn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建设条件：1.电力充足，电价低。</w:t>
      </w:r>
      <w:r>
        <w:rPr>
          <w:rFonts w:hint="eastAsia" w:ascii="仿宋" w:hAnsi="仿宋" w:eastAsia="仿宋" w:cs="仿宋"/>
          <w:color w:val="000000"/>
          <w:kern w:val="0"/>
          <w:sz w:val="32"/>
          <w:szCs w:val="32"/>
          <w:lang w:val="en-US" w:eastAsia="zh-CN" w:bidi="ar"/>
        </w:rPr>
        <w:t>巴彦淖尔电网处于全国唯一省管电网——蒙西电网的主网架中，电力装机居全国首位，并且形成了全国第一家省级电网独立输配电价格体系，输配电价可直接进行电力市场交易，对电力需求较大的企业，还可按电力多边交易实施直供电价格，大工业电价0.26-0.45 元/千瓦时。</w:t>
      </w:r>
      <w:r>
        <w:rPr>
          <w:rFonts w:hint="eastAsia" w:ascii="仿宋" w:hAnsi="仿宋" w:eastAsia="仿宋" w:cs="仿宋"/>
          <w:b/>
          <w:bCs/>
          <w:color w:val="000000"/>
          <w:kern w:val="0"/>
          <w:sz w:val="32"/>
          <w:szCs w:val="32"/>
          <w:lang w:val="en-US" w:eastAsia="zh-CN" w:bidi="ar"/>
        </w:rPr>
        <w:t>2.市场潜力巨大。</w:t>
      </w:r>
      <w:r>
        <w:rPr>
          <w:rFonts w:hint="eastAsia" w:ascii="仿宋" w:hAnsi="仿宋" w:eastAsia="仿宋" w:cs="仿宋"/>
          <w:color w:val="000000"/>
          <w:kern w:val="0"/>
          <w:sz w:val="32"/>
          <w:szCs w:val="32"/>
          <w:lang w:val="en-US" w:eastAsia="zh-CN" w:bidi="ar"/>
        </w:rPr>
        <w:t xml:space="preserve">巴彦淖尔市农牧业资源丰富，有 1100 多万亩耕地。全市玉米种植面积达 455多万亩，是全国玉米种植的主要区域。全市番茄种植面积稳定在 15 万亩左右，最高达到 48 万亩，产量最高达到 250万吨，番茄加工企业 28 家。因此，本地对农机产品需求较大。 </w:t>
      </w:r>
    </w:p>
    <w:p>
      <w:pPr>
        <w:keepNext w:val="0"/>
        <w:keepLines w:val="0"/>
        <w:pageBreakBefore w:val="0"/>
        <w:widowControl/>
        <w:suppressLineNumbers w:val="0"/>
        <w:kinsoku/>
        <w:wordWrap/>
        <w:overflowPunct/>
        <w:topLinePunct w:val="0"/>
        <w:autoSpaceDE/>
        <w:autoSpaceDN/>
        <w:bidi w:val="0"/>
        <w:adjustRightInd/>
        <w:spacing w:line="4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3.建设成本低。</w:t>
      </w:r>
      <w:r>
        <w:rPr>
          <w:rFonts w:hint="eastAsia" w:ascii="仿宋" w:hAnsi="仿宋" w:eastAsia="仿宋" w:cs="仿宋"/>
          <w:b w:val="0"/>
          <w:bCs w:val="0"/>
          <w:color w:val="000000"/>
          <w:kern w:val="0"/>
          <w:sz w:val="32"/>
          <w:szCs w:val="32"/>
          <w:lang w:val="en-US" w:eastAsia="zh-CN" w:bidi="ar"/>
        </w:rPr>
        <w:t>我</w:t>
      </w:r>
      <w:r>
        <w:rPr>
          <w:rFonts w:hint="eastAsia" w:ascii="仿宋" w:hAnsi="仿宋" w:eastAsia="仿宋" w:cs="仿宋"/>
          <w:color w:val="000000"/>
          <w:kern w:val="0"/>
          <w:sz w:val="32"/>
          <w:szCs w:val="32"/>
          <w:lang w:val="en-US" w:eastAsia="zh-CN" w:bidi="ar"/>
        </w:rPr>
        <w:t xml:space="preserve">区工业用地土地出让金 9.8万元/亩，投资数额大、科技含量高的项目可实行“一事一议”的灵活土地政策。劳动力成本低，在同样价格情况下，由于具有低成本的优势，可实现较高的经济效益。 </w:t>
      </w:r>
    </w:p>
    <w:p>
      <w:pPr>
        <w:keepNext w:val="0"/>
        <w:keepLines w:val="0"/>
        <w:pageBreakBefore w:val="0"/>
        <w:widowControl/>
        <w:suppressLineNumbers w:val="0"/>
        <w:kinsoku/>
        <w:wordWrap/>
        <w:overflowPunct/>
        <w:topLinePunct w:val="0"/>
        <w:autoSpaceDE/>
        <w:autoSpaceDN/>
        <w:bidi w:val="0"/>
        <w:adjustRightIn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建设内容：</w:t>
      </w:r>
      <w:r>
        <w:rPr>
          <w:rFonts w:hint="eastAsia" w:ascii="仿宋" w:hAnsi="仿宋" w:eastAsia="仿宋" w:cs="仿宋"/>
          <w:color w:val="000000"/>
          <w:kern w:val="0"/>
          <w:sz w:val="32"/>
          <w:szCs w:val="32"/>
          <w:lang w:val="en-US" w:eastAsia="zh-CN" w:bidi="ar"/>
        </w:rPr>
        <w:t xml:space="preserve">1.建设产学研研发中心。与国内机械方面的院所研究机构合作，在开发区建立农机研发实验室。2.建设玉米播种机、番茄采摘机组装制造生产线。 </w:t>
      </w:r>
    </w:p>
    <w:p>
      <w:pPr>
        <w:keepNext w:val="0"/>
        <w:keepLines w:val="0"/>
        <w:pageBreakBefore w:val="0"/>
        <w:widowControl/>
        <w:suppressLineNumbers w:val="0"/>
        <w:kinsoku/>
        <w:wordWrap/>
        <w:overflowPunct/>
        <w:topLinePunct w:val="0"/>
        <w:autoSpaceDE/>
        <w:autoSpaceDN/>
        <w:bidi w:val="0"/>
        <w:adjustRightInd/>
        <w:spacing w:line="460" w:lineRule="exact"/>
        <w:jc w:val="both"/>
        <w:textAlignment w:val="auto"/>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投资和技术经济指标估算：</w:t>
      </w:r>
      <w:r>
        <w:rPr>
          <w:rFonts w:hint="eastAsia" w:ascii="仿宋" w:hAnsi="仿宋" w:eastAsia="仿宋" w:cs="仿宋"/>
          <w:color w:val="000000"/>
          <w:kern w:val="0"/>
          <w:sz w:val="32"/>
          <w:szCs w:val="32"/>
          <w:lang w:val="en-US" w:eastAsia="zh-CN" w:bidi="ar"/>
        </w:rPr>
        <w:t>项目总投资 0.5亿元，产值 1亿元</w:t>
      </w:r>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bCs/>
          <w:kern w:val="44"/>
          <w:sz w:val="44"/>
          <w:szCs w:val="44"/>
        </w:rPr>
      </w:pPr>
    </w:p>
    <w:p>
      <w:pPr>
        <w:keepNext w:val="0"/>
        <w:keepLines w:val="0"/>
        <w:pageBreakBefore w:val="0"/>
        <w:widowControl/>
        <w:suppressLineNumbers w:val="0"/>
        <w:kinsoku/>
        <w:wordWrap/>
        <w:overflowPunct/>
        <w:topLinePunct w:val="0"/>
        <w:autoSpaceDE/>
        <w:autoSpaceDN/>
        <w:bidi w:val="0"/>
        <w:adjustRightInd/>
        <w:spacing w:line="460" w:lineRule="exact"/>
        <w:jc w:val="left"/>
        <w:textAlignment w:val="auto"/>
        <w:rPr>
          <w:rFonts w:ascii="微软雅黑" w:hAnsi="微软雅黑" w:eastAsia="微软雅黑" w:cs="微软雅黑"/>
          <w:color w:val="000000"/>
          <w:kern w:val="0"/>
          <w:sz w:val="36"/>
          <w:szCs w:val="36"/>
          <w:lang w:val="en-US" w:eastAsia="zh-CN" w:bidi="ar"/>
        </w:rPr>
      </w:pPr>
    </w:p>
    <w:p>
      <w:pPr>
        <w:keepNext w:val="0"/>
        <w:keepLines w:val="0"/>
        <w:widowControl/>
        <w:suppressLineNumbers w:val="0"/>
        <w:jc w:val="left"/>
        <w:rPr>
          <w:rFonts w:ascii="微软雅黑" w:hAnsi="微软雅黑" w:eastAsia="微软雅黑" w:cs="微软雅黑"/>
          <w:color w:val="000000"/>
          <w:kern w:val="0"/>
          <w:sz w:val="36"/>
          <w:szCs w:val="36"/>
          <w:lang w:val="en-US" w:eastAsia="zh-CN" w:bidi="ar"/>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ind w:left="0" w:leftChars="0" w:firstLine="0" w:firstLineChars="0"/>
        <w:textAlignment w:val="auto"/>
        <w:rPr>
          <w:rFonts w:hint="eastAsia" w:ascii="宋体" w:hAnsi="宋体" w:eastAsia="宋体" w:cs="宋体"/>
          <w:b/>
          <w:bCs/>
          <w:kern w:val="44"/>
          <w:sz w:val="44"/>
          <w:szCs w:val="44"/>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sz w:val="44"/>
          <w:szCs w:val="44"/>
        </w:rPr>
      </w:pPr>
      <w:r>
        <w:rPr>
          <w:rFonts w:hint="eastAsia" w:ascii="宋体" w:hAnsi="宋体" w:eastAsia="宋体" w:cs="宋体"/>
          <w:b/>
          <w:bCs/>
          <w:color w:val="000000"/>
          <w:kern w:val="0"/>
          <w:sz w:val="44"/>
          <w:szCs w:val="44"/>
          <w:lang w:val="en-US" w:eastAsia="zh-CN" w:bidi="ar"/>
        </w:rPr>
        <w:t>工业固废综合利用项目</w:t>
      </w:r>
    </w:p>
    <w:p>
      <w:pPr>
        <w:keepNext w:val="0"/>
        <w:keepLines w:val="0"/>
        <w:widowControl/>
        <w:suppressLineNumbers w:val="0"/>
        <w:jc w:val="left"/>
        <w:rPr>
          <w:rFonts w:hint="eastAsia" w:ascii="黑体" w:hAnsi="宋体" w:eastAsia="黑体" w:cs="黑体"/>
          <w:color w:val="000000"/>
          <w:kern w:val="0"/>
          <w:sz w:val="28"/>
          <w:szCs w:val="28"/>
          <w:lang w:val="en-US" w:eastAsia="zh-CN" w:bidi="ar"/>
        </w:rPr>
      </w:pPr>
    </w:p>
    <w:p>
      <w:pPr>
        <w:keepNext w:val="0"/>
        <w:keepLines w:val="0"/>
        <w:widowControl/>
        <w:suppressLineNumbers w:val="0"/>
        <w:jc w:val="both"/>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项目概况：</w:t>
      </w:r>
      <w:r>
        <w:rPr>
          <w:rFonts w:hint="eastAsia" w:ascii="仿宋" w:hAnsi="仿宋" w:eastAsia="仿宋" w:cs="仿宋"/>
          <w:color w:val="000000"/>
          <w:kern w:val="0"/>
          <w:sz w:val="32"/>
          <w:szCs w:val="32"/>
          <w:lang w:val="en-US" w:eastAsia="zh-CN" w:bidi="ar"/>
        </w:rPr>
        <w:t xml:space="preserve">项目依托我市资源优势，建设脱硫石膏、建筑垃圾、粉煤灰、尾矿、铁矿渣生产线等，生产沙、石子、透水砖、商混等建筑原材料以及耐火材料产品，建成工业固废综合利用项目。园区内火电企业年产粉煤灰约 720 万吨，其中北方联合电力年产粉煤灰 200 万吨，联邦制药自备电厂年产粉煤灰约 30 万吨，磴口县金牛热电联厂产粉煤灰约 200 多万吨；全市有 4 亿吨尾矿、铁矿渣等固体废物，脱硫石膏 7 万吨。利用我市待利用的工业废渣开发系列环保建材产品，原材料就地解决，无需外购，因而成本较低，同时解决工业废渣堆积造成的环保问题，因此，该项目具有良好的经济效益和社会效益。 </w:t>
      </w:r>
    </w:p>
    <w:p>
      <w:pPr>
        <w:keepNext w:val="0"/>
        <w:keepLines w:val="0"/>
        <w:widowControl/>
        <w:suppressLineNumbers w:val="0"/>
        <w:jc w:val="both"/>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建设条件：1.电力充足，电价低。</w:t>
      </w:r>
      <w:r>
        <w:rPr>
          <w:rFonts w:hint="eastAsia" w:ascii="仿宋" w:hAnsi="仿宋" w:eastAsia="仿宋" w:cs="仿宋"/>
          <w:color w:val="000000"/>
          <w:kern w:val="0"/>
          <w:sz w:val="32"/>
          <w:szCs w:val="32"/>
          <w:lang w:val="en-US" w:eastAsia="zh-CN" w:bidi="ar"/>
        </w:rPr>
        <w:t>巴彦淖尔电网处于全国唯一省管电网——蒙西电网的主网架中，电力装机居全国首位，并且形成了全国第一家省级电网独立输配电价格体系，输配电价可直接进行电力市场交易，对电力需求较大的企业，还可按电力多边交易实施直供电价格，大工业电价0.26-0.45 元/千瓦时。</w:t>
      </w:r>
      <w:r>
        <w:rPr>
          <w:rFonts w:hint="eastAsia" w:ascii="仿宋" w:hAnsi="仿宋" w:eastAsia="仿宋" w:cs="仿宋"/>
          <w:b/>
          <w:bCs/>
          <w:color w:val="000000"/>
          <w:kern w:val="0"/>
          <w:sz w:val="32"/>
          <w:szCs w:val="32"/>
          <w:lang w:val="en-US" w:eastAsia="zh-CN" w:bidi="ar"/>
        </w:rPr>
        <w:t>2.建设成本低。</w:t>
      </w:r>
      <w:r>
        <w:rPr>
          <w:rFonts w:hint="eastAsia" w:ascii="仿宋" w:hAnsi="仿宋" w:eastAsia="仿宋" w:cs="仿宋"/>
          <w:b w:val="0"/>
          <w:bCs w:val="0"/>
          <w:color w:val="000000"/>
          <w:kern w:val="0"/>
          <w:sz w:val="32"/>
          <w:szCs w:val="32"/>
          <w:lang w:val="en-US" w:eastAsia="zh-CN" w:bidi="ar"/>
        </w:rPr>
        <w:t>我</w:t>
      </w:r>
      <w:r>
        <w:rPr>
          <w:rFonts w:hint="eastAsia" w:ascii="仿宋" w:hAnsi="仿宋" w:eastAsia="仿宋" w:cs="仿宋"/>
          <w:color w:val="000000"/>
          <w:kern w:val="0"/>
          <w:sz w:val="32"/>
          <w:szCs w:val="32"/>
          <w:lang w:val="en-US" w:eastAsia="zh-CN" w:bidi="ar"/>
        </w:rPr>
        <w:t>区工业用地土地出让金 9.8万元/亩，投资数额大、科技含量高的项目可实行“一事一议”的灵活土地政策。</w:t>
      </w:r>
      <w:r>
        <w:rPr>
          <w:rFonts w:hint="eastAsia" w:ascii="仿宋" w:hAnsi="仿宋" w:eastAsia="仿宋" w:cs="仿宋"/>
          <w:b/>
          <w:bCs/>
          <w:color w:val="000000"/>
          <w:kern w:val="0"/>
          <w:sz w:val="32"/>
          <w:szCs w:val="32"/>
          <w:lang w:val="en-US" w:eastAsia="zh-CN" w:bidi="ar"/>
        </w:rPr>
        <w:t>3、劳动力成本低。</w:t>
      </w:r>
      <w:r>
        <w:rPr>
          <w:rFonts w:hint="eastAsia" w:ascii="仿宋" w:hAnsi="仿宋" w:eastAsia="仿宋" w:cs="仿宋"/>
          <w:color w:val="000000"/>
          <w:kern w:val="0"/>
          <w:sz w:val="32"/>
          <w:szCs w:val="32"/>
          <w:lang w:val="en-US" w:eastAsia="zh-CN" w:bidi="ar"/>
        </w:rPr>
        <w:t>生产工人人均月工资为 2500 元，技术人员人均月工资为 3500 元，管理人员人均月工资为 4800 元，在同样价格情况下，由于具有低成本的优势，可实现较高的经济效益。或者由于成本较低可使用较低价格在市场竞争中处于优势地位。</w:t>
      </w:r>
      <w:r>
        <w:rPr>
          <w:rFonts w:hint="eastAsia" w:ascii="仿宋" w:hAnsi="仿宋" w:eastAsia="仿宋" w:cs="仿宋"/>
          <w:b/>
          <w:bCs/>
          <w:color w:val="000000"/>
          <w:kern w:val="0"/>
          <w:sz w:val="32"/>
          <w:szCs w:val="32"/>
          <w:lang w:val="en-US" w:eastAsia="zh-CN" w:bidi="ar"/>
        </w:rPr>
        <w:t>4、工业用水充沛。</w:t>
      </w:r>
      <w:r>
        <w:rPr>
          <w:rFonts w:hint="eastAsia" w:ascii="仿宋" w:hAnsi="仿宋" w:eastAsia="仿宋" w:cs="仿宋"/>
          <w:color w:val="000000"/>
          <w:kern w:val="0"/>
          <w:sz w:val="32"/>
          <w:szCs w:val="32"/>
          <w:lang w:val="en-US" w:eastAsia="zh-CN" w:bidi="ar"/>
        </w:rPr>
        <w:t xml:space="preserve">黄河流经巴彦淖尔 345 公里，全年引黄河水量51 亿立方米，年可利用中水 5—7 亿立方米，水费 2 元/吨，水资源税 2.5元/吨，污水处理费 0.95 元/吨。 </w:t>
      </w:r>
    </w:p>
    <w:p>
      <w:pPr>
        <w:keepNext w:val="0"/>
        <w:keepLines w:val="0"/>
        <w:widowControl/>
        <w:suppressLineNumbers w:val="0"/>
        <w:jc w:val="both"/>
        <w:rPr>
          <w:rFonts w:hint="default" w:ascii="仿宋" w:hAnsi="仿宋" w:eastAsia="仿宋" w:cs="仿宋"/>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建设内容：</w:t>
      </w:r>
      <w:r>
        <w:rPr>
          <w:rFonts w:hint="eastAsia" w:ascii="仿宋" w:hAnsi="仿宋" w:eastAsia="仿宋" w:cs="仿宋"/>
          <w:color w:val="000000"/>
          <w:kern w:val="0"/>
          <w:sz w:val="32"/>
          <w:szCs w:val="32"/>
          <w:lang w:val="en-US" w:eastAsia="zh-CN" w:bidi="ar"/>
        </w:rPr>
        <w:t>拟引进年处理4亿吨工业固废综合利用项目</w:t>
      </w:r>
    </w:p>
    <w:p>
      <w:pPr>
        <w:keepNext w:val="0"/>
        <w:keepLines w:val="0"/>
        <w:widowControl/>
        <w:suppressLineNumbers w:val="0"/>
        <w:jc w:val="both"/>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投资和技术经济指标估算：</w:t>
      </w:r>
      <w:r>
        <w:rPr>
          <w:rFonts w:hint="eastAsia" w:ascii="仿宋" w:hAnsi="仿宋" w:eastAsia="仿宋" w:cs="仿宋"/>
          <w:color w:val="000000"/>
          <w:kern w:val="0"/>
          <w:sz w:val="32"/>
          <w:szCs w:val="32"/>
          <w:lang w:val="en-US" w:eastAsia="zh-CN" w:bidi="ar"/>
        </w:rPr>
        <w:t xml:space="preserve">总投资1.6155亿元，年营业收入3.1492 亿元，利润总额0.6851 亿元。 </w:t>
      </w:r>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240" w:lineRule="auto"/>
        <w:ind w:firstLine="0" w:firstLineChars="0"/>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pStyle w:val="15"/>
        <w:keepNext w:val="0"/>
        <w:keepLines w:val="0"/>
        <w:pageBreakBefore w:val="0"/>
        <w:widowControl w:val="0"/>
        <w:kinsoku/>
        <w:wordWrap/>
        <w:overflowPunct/>
        <w:topLinePunct w:val="0"/>
        <w:autoSpaceDE/>
        <w:autoSpaceDN/>
        <w:bidi w:val="0"/>
        <w:adjustRightInd/>
        <w:spacing w:line="460" w:lineRule="exact"/>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b/>
          <w:bCs/>
          <w:sz w:val="44"/>
          <w:szCs w:val="44"/>
        </w:rPr>
      </w:pPr>
      <w:r>
        <w:rPr>
          <w:rFonts w:hint="eastAsia"/>
          <w:b/>
          <w:bCs/>
          <w:sz w:val="44"/>
          <w:szCs w:val="44"/>
        </w:rPr>
        <w:t>新型低碳可降解塑料包装袋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b/>
          <w:bCs/>
          <w:sz w:val="44"/>
          <w:szCs w:val="44"/>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伴随全球面临经济发展与能源紧缺的双重压力，实现无污染降解和低碳排放的新产品、新技术、新材料产业发展迅猛，低碳经济市场前景广阔。通过改性材料的研制、开发和应用，在实现低碳减排效果的同时，具有明显的成本优势。目前，我国每天产生生活垃圾量约为2.2亿吨，且以10%的速度增长，超过三分之一的城市，正深陷垃圾围城的困局，垃圾产量世界第一，而我国的垃圾处理方式以填埋为主，填埋方式会对土壤、大气环境造成严重的污染，尤其是渗液对地下水的污染极其严重。我国目前已拥有62个垃圾焚烧厂，焚烧处理方式，未来会在我国普遍采用,而新型低碳可降解塑料包装袋在现阶段垃圾回收采取填埋方式的过程中，在自然环境下（阳光，空气，水等）可以完全降解，彻底实现环保，国内发展潜力巨大。</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仿宋" w:hAnsi="仿宋" w:eastAsia="仿宋" w:cs="仿宋"/>
          <w:sz w:val="32"/>
          <w:szCs w:val="32"/>
        </w:rPr>
      </w:pPr>
      <w:r>
        <w:rPr>
          <w:rFonts w:hint="eastAsia" w:ascii="仿宋" w:hAnsi="仿宋" w:eastAsia="仿宋" w:cs="仿宋"/>
          <w:b/>
          <w:bCs/>
          <w:sz w:val="32"/>
          <w:szCs w:val="32"/>
        </w:rPr>
        <w:t>建设条件</w:t>
      </w:r>
      <w:r>
        <w:rPr>
          <w:rFonts w:hint="eastAsia" w:ascii="仿宋" w:hAnsi="仿宋" w:eastAsia="仿宋" w:cs="仿宋"/>
          <w:sz w:val="32"/>
          <w:szCs w:val="32"/>
        </w:rPr>
        <w:t>：随着我市煤化工产业的壮大，配套建设新型低碳可降解塑料包装袋，具有很好的原料供应条件；园区水电、土地等生产要素充足廉价；再加上独特的区位交通优势，产品市场广阔。</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：新型低碳可降解塑料包装袋生产线一条</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sz w:val="32"/>
          <w:szCs w:val="32"/>
        </w:rPr>
        <w:t>：项目总投资</w:t>
      </w:r>
      <w:r>
        <w:rPr>
          <w:rFonts w:hint="eastAsia" w:ascii="仿宋" w:hAnsi="仿宋" w:eastAsia="仿宋" w:cs="仿宋"/>
          <w:sz w:val="32"/>
          <w:szCs w:val="32"/>
          <w:lang w:val="en-US" w:eastAsia="zh-CN"/>
        </w:rPr>
        <w:t>0.</w:t>
      </w:r>
      <w:r>
        <w:rPr>
          <w:rFonts w:hint="eastAsia" w:ascii="仿宋" w:hAnsi="仿宋" w:eastAsia="仿宋" w:cs="仿宋"/>
          <w:sz w:val="32"/>
          <w:szCs w:val="32"/>
        </w:rPr>
        <w:t>325</w:t>
      </w:r>
      <w:r>
        <w:rPr>
          <w:rFonts w:hint="eastAsia" w:ascii="仿宋" w:hAnsi="仿宋" w:eastAsia="仿宋" w:cs="仿宋"/>
          <w:sz w:val="32"/>
          <w:szCs w:val="32"/>
          <w:lang w:val="en-US" w:eastAsia="zh-CN"/>
        </w:rPr>
        <w:t>亿</w:t>
      </w:r>
      <w:r>
        <w:rPr>
          <w:rFonts w:hint="eastAsia" w:ascii="仿宋" w:hAnsi="仿宋" w:eastAsia="仿宋" w:cs="仿宋"/>
          <w:sz w:val="32"/>
          <w:szCs w:val="32"/>
        </w:rPr>
        <w:t>元</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宋体" w:hAnsi="宋体" w:eastAsia="宋体" w:cs="宋体"/>
          <w:b/>
          <w:bCs/>
          <w:kern w:val="44"/>
          <w:sz w:val="44"/>
          <w:szCs w:val="44"/>
        </w:rPr>
      </w:pPr>
      <w:r>
        <w:rPr>
          <w:rFonts w:hint="eastAsia" w:ascii="仿宋" w:hAnsi="仿宋" w:eastAsia="仿宋" w:cs="仿宋"/>
          <w:b/>
          <w:bCs/>
          <w:sz w:val="32"/>
          <w:szCs w:val="32"/>
        </w:rPr>
        <w:t>效益预测</w:t>
      </w:r>
      <w:r>
        <w:rPr>
          <w:rFonts w:hint="eastAsia" w:ascii="仿宋" w:hAnsi="仿宋" w:eastAsia="仿宋" w:cs="仿宋"/>
          <w:sz w:val="32"/>
          <w:szCs w:val="32"/>
        </w:rPr>
        <w:t>：项目达产后，年产可达15000吨，年新增销售收入1</w:t>
      </w:r>
      <w:r>
        <w:rPr>
          <w:rFonts w:hint="eastAsia" w:ascii="仿宋" w:hAnsi="仿宋" w:eastAsia="仿宋" w:cs="仿宋"/>
          <w:sz w:val="32"/>
          <w:szCs w:val="32"/>
          <w:lang w:val="en-US" w:eastAsia="zh-CN"/>
        </w:rPr>
        <w:t>.</w:t>
      </w:r>
      <w:r>
        <w:rPr>
          <w:rFonts w:hint="eastAsia" w:ascii="仿宋" w:hAnsi="仿宋" w:eastAsia="仿宋" w:cs="仿宋"/>
          <w:sz w:val="32"/>
          <w:szCs w:val="32"/>
        </w:rPr>
        <w:t>8</w:t>
      </w:r>
      <w:r>
        <w:rPr>
          <w:rFonts w:hint="eastAsia" w:ascii="仿宋" w:hAnsi="仿宋" w:eastAsia="仿宋" w:cs="仿宋"/>
          <w:sz w:val="32"/>
          <w:szCs w:val="32"/>
          <w:lang w:val="en-US" w:eastAsia="zh-CN"/>
        </w:rPr>
        <w:t>亿</w:t>
      </w:r>
      <w:r>
        <w:rPr>
          <w:rFonts w:hint="eastAsia" w:ascii="仿宋" w:hAnsi="仿宋" w:eastAsia="仿宋" w:cs="仿宋"/>
          <w:sz w:val="32"/>
          <w:szCs w:val="32"/>
        </w:rPr>
        <w:t>元，实现利税</w:t>
      </w:r>
      <w:r>
        <w:rPr>
          <w:rFonts w:hint="eastAsia" w:ascii="仿宋" w:hAnsi="仿宋" w:eastAsia="仿宋" w:cs="仿宋"/>
          <w:sz w:val="32"/>
          <w:szCs w:val="32"/>
          <w:lang w:val="en-US" w:eastAsia="zh-CN"/>
        </w:rPr>
        <w:t>0.0</w:t>
      </w:r>
      <w:r>
        <w:rPr>
          <w:rFonts w:hint="eastAsia" w:ascii="仿宋" w:hAnsi="仿宋" w:eastAsia="仿宋" w:cs="仿宋"/>
          <w:sz w:val="32"/>
          <w:szCs w:val="32"/>
        </w:rPr>
        <w:t>403</w:t>
      </w:r>
      <w:r>
        <w:rPr>
          <w:rFonts w:hint="eastAsia" w:ascii="仿宋" w:hAnsi="仿宋" w:eastAsia="仿宋" w:cs="仿宋"/>
          <w:sz w:val="32"/>
          <w:szCs w:val="32"/>
          <w:lang w:val="en-US" w:eastAsia="zh-CN"/>
        </w:rPr>
        <w:t>亿</w:t>
      </w:r>
      <w:r>
        <w:rPr>
          <w:rFonts w:hint="eastAsia" w:ascii="仿宋" w:hAnsi="仿宋" w:eastAsia="仿宋" w:cs="仿宋"/>
          <w:sz w:val="32"/>
          <w:szCs w:val="32"/>
        </w:rPr>
        <w:t>元，投资回收期半年。</w:t>
      </w:r>
    </w:p>
    <w:p>
      <w:pPr>
        <w:keepNext w:val="0"/>
        <w:keepLines w:val="0"/>
        <w:pageBreakBefore w:val="0"/>
        <w:widowControl w:val="0"/>
        <w:kinsoku/>
        <w:wordWrap/>
        <w:overflowPunct/>
        <w:topLinePunct w:val="0"/>
        <w:autoSpaceDE/>
        <w:autoSpaceDN/>
        <w:bidi w:val="0"/>
        <w:adjustRightInd/>
        <w:spacing w:line="4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left="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宋体" w:hAnsi="宋体" w:eastAsia="宋体" w:cs="宋体"/>
          <w:b/>
          <w:bCs/>
          <w:kern w:val="44"/>
          <w:sz w:val="44"/>
          <w:szCs w:val="44"/>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生物柴油生产科技项目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suppressLineNumbers w:val="0"/>
        <w:kinsoku/>
        <w:wordWrap/>
        <w:overflowPunct/>
        <w:topLinePunct w:val="0"/>
        <w:autoSpaceDE/>
        <w:autoSpaceDN/>
        <w:bidi w:val="0"/>
        <w:adjustRightInd/>
        <w:spacing w:line="460" w:lineRule="exact"/>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bCs/>
          <w:sz w:val="32"/>
          <w:szCs w:val="32"/>
        </w:rPr>
        <w:t>项目简介</w:t>
      </w:r>
      <w:r>
        <w:rPr>
          <w:rFonts w:hint="eastAsia" w:ascii="仿宋" w:hAnsi="仿宋" w:eastAsia="仿宋" w:cs="仿宋"/>
          <w:b/>
          <w:bCs/>
          <w:sz w:val="32"/>
          <w:szCs w:val="32"/>
          <w:lang w:eastAsia="zh-CN"/>
        </w:rPr>
        <w:t>：</w:t>
      </w:r>
      <w:r>
        <w:rPr>
          <w:rFonts w:hint="eastAsia" w:ascii="仿宋" w:hAnsi="仿宋" w:eastAsia="仿宋" w:cs="仿宋"/>
          <w:color w:val="000000"/>
          <w:kern w:val="0"/>
          <w:sz w:val="32"/>
          <w:szCs w:val="32"/>
          <w:lang w:val="en-US" w:eastAsia="zh-CN" w:bidi="ar"/>
        </w:rPr>
        <w:t>工业级废弃餐厨油脂，泛指在生活中存在的各类不可食用油脂，如从餐饮单位回收的厨余油脂、食用油厂下脚料皂角、下水道收集的废弃食用油、 屠宰场废弃下脚料提炼不可食用油等（如羊肠油），病死禽畜提炼油。食用废弃动植物油脂会破坏人们的白血球和消化道黏膜，引起食物中毒，导致消化不良、头痛、头晕、失眠、乏力、肝区不适等症状甚至致癌的严重后果，对人体的危害极大。</w:t>
      </w:r>
    </w:p>
    <w:p>
      <w:pPr>
        <w:keepNext w:val="0"/>
        <w:keepLines w:val="0"/>
        <w:pageBreakBefore w:val="0"/>
        <w:widowControl/>
        <w:suppressLineNumbers w:val="0"/>
        <w:kinsoku/>
        <w:wordWrap/>
        <w:overflowPunct/>
        <w:topLinePunct w:val="0"/>
        <w:autoSpaceDE/>
        <w:autoSpaceDN/>
        <w:bidi w:val="0"/>
        <w:adjustRightInd/>
        <w:spacing w:line="460" w:lineRule="exact"/>
        <w:ind w:firstLine="640" w:firstLineChars="200"/>
        <w:jc w:val="both"/>
        <w:textAlignment w:val="auto"/>
        <w:rPr>
          <w:rFonts w:hint="eastAsia" w:ascii="仿宋" w:hAnsi="仿宋" w:eastAsia="仿宋" w:cs="仿宋"/>
          <w:b/>
          <w:bCs/>
          <w:sz w:val="32"/>
          <w:szCs w:val="32"/>
          <w:lang w:eastAsia="zh-CN"/>
        </w:rPr>
      </w:pPr>
      <w:r>
        <w:rPr>
          <w:rFonts w:hint="eastAsia" w:ascii="仿宋" w:hAnsi="仿宋" w:eastAsia="仿宋" w:cs="仿宋"/>
          <w:color w:val="000000"/>
          <w:kern w:val="0"/>
          <w:sz w:val="32"/>
          <w:szCs w:val="32"/>
          <w:lang w:val="en-US" w:eastAsia="zh-CN" w:bidi="ar"/>
        </w:rPr>
        <w:t>中国是人口大国，每年餐饮企业会产生 500-600 万吨厨余废弃油脂制作为工业级废弃餐厨油脂、每年食用油企业会产生 200-300 万吨油脂下脚料（俗称“皂角”）；畜牧业为内蒙古自治区主要产业，每年仅牛羊猪肉产量超过 200 万吨，随之生成的废弃肠油、屠宰后废弃油脂及病死畜禽处理后产生的油脂高达几十万吨。将废油脂回收后生产成生物柴油，实现废油脂资源化处置，不仅可以减少废油脂环境污染和非法利用等问题，而且能够节约我国有限的石油资源。</w:t>
      </w:r>
    </w:p>
    <w:p>
      <w:pPr>
        <w:keepNext w:val="0"/>
        <w:keepLines w:val="0"/>
        <w:pageBreakBefore w:val="0"/>
        <w:widowControl/>
        <w:suppressLineNumbers w:val="0"/>
        <w:kinsoku/>
        <w:wordWrap/>
        <w:overflowPunct/>
        <w:topLinePunct w:val="0"/>
        <w:autoSpaceDE/>
        <w:autoSpaceDN/>
        <w:bidi w:val="0"/>
        <w:adjustRightInd/>
        <w:spacing w:line="460" w:lineRule="exact"/>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b/>
          <w:bCs/>
          <w:sz w:val="32"/>
          <w:szCs w:val="32"/>
        </w:rPr>
        <w:t>建设</w:t>
      </w:r>
      <w:r>
        <w:rPr>
          <w:rFonts w:hint="eastAsia" w:ascii="仿宋" w:hAnsi="仿宋" w:eastAsia="仿宋" w:cs="仿宋"/>
          <w:b/>
          <w:bCs/>
          <w:sz w:val="32"/>
          <w:szCs w:val="32"/>
          <w:lang w:val="en-US" w:eastAsia="zh-CN"/>
        </w:rPr>
        <w:t>规模</w:t>
      </w:r>
      <w:r>
        <w:rPr>
          <w:rFonts w:hint="eastAsia" w:ascii="仿宋" w:hAnsi="仿宋" w:eastAsia="仿宋" w:cs="仿宋"/>
          <w:sz w:val="32"/>
          <w:szCs w:val="32"/>
        </w:rPr>
        <w:t>：</w:t>
      </w:r>
      <w:r>
        <w:rPr>
          <w:rFonts w:hint="eastAsia" w:ascii="仿宋" w:hAnsi="仿宋" w:eastAsia="仿宋" w:cs="仿宋"/>
          <w:color w:val="000000"/>
          <w:kern w:val="0"/>
          <w:sz w:val="32"/>
          <w:szCs w:val="32"/>
          <w:lang w:val="en-US" w:eastAsia="zh-CN" w:bidi="ar"/>
        </w:rPr>
        <w:t>本项目为利用工业级废弃动植物油脂生产生物柴油项目，皂角来自葵花籽油、玉米油、大豆油、棕榈油等食品油加工生产的副产品，动物油来自羊肠油、猪牛羊屠宰后淋巴等肥料提取油脂、病死畜禽处理油脂，工业级废弃餐厨油脂来自各餐厨垃圾处理工厂，均属于循环利用。</w:t>
      </w:r>
    </w:p>
    <w:p>
      <w:pPr>
        <w:keepNext w:val="0"/>
        <w:keepLines w:val="0"/>
        <w:pageBreakBefore w:val="0"/>
        <w:widowControl/>
        <w:suppressLineNumbers w:val="0"/>
        <w:kinsoku/>
        <w:wordWrap/>
        <w:overflowPunct/>
        <w:topLinePunct w:val="0"/>
        <w:autoSpaceDE/>
        <w:autoSpaceDN/>
        <w:bidi w:val="0"/>
        <w:adjustRightInd/>
        <w:spacing w:line="460" w:lineRule="exact"/>
        <w:ind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建设项目占地66,600平方米（约100亩），总建筑面30,484平方米，其中：预处理车间4170平方米，生产车间一6960平方米，生产车间二6960平方米，仓储车间7524平方米，配电站及空压站1350平方米，综合办公楼2400平方米，中心实验500平米。建筑密度为45.77%，容积率为0.6，绿地率为10% 。</w:t>
      </w:r>
    </w:p>
    <w:p>
      <w:pPr>
        <w:keepNext w:val="0"/>
        <w:keepLines w:val="0"/>
        <w:pageBreakBefore w:val="0"/>
        <w:widowControl/>
        <w:suppressLineNumbers w:val="0"/>
        <w:kinsoku/>
        <w:wordWrap/>
        <w:overflowPunct/>
        <w:topLinePunct w:val="0"/>
        <w:autoSpaceDE/>
        <w:autoSpaceDN/>
        <w:bidi w:val="0"/>
        <w:adjustRightInd/>
        <w:spacing w:line="460" w:lineRule="exact"/>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color w:val="000000"/>
          <w:kern w:val="0"/>
          <w:sz w:val="32"/>
          <w:szCs w:val="32"/>
          <w:lang w:val="en-US" w:eastAsia="zh-CN" w:bidi="ar"/>
        </w:rPr>
        <w:t xml:space="preserve">项目建成达产后，可年产生物柴油10万吨，纯化甘油7200吨，生物质重油 1 万吨，生物质轻油 2400 吨。 </w:t>
      </w:r>
    </w:p>
    <w:p>
      <w:pPr>
        <w:keepNext w:val="0"/>
        <w:keepLines w:val="0"/>
        <w:pageBreakBefore w:val="0"/>
        <w:widowControl/>
        <w:suppressLineNumbers w:val="0"/>
        <w:kinsoku/>
        <w:wordWrap/>
        <w:overflowPunct/>
        <w:topLinePunct w:val="0"/>
        <w:autoSpaceDE/>
        <w:autoSpaceDN/>
        <w:bidi w:val="0"/>
        <w:adjustRightInd/>
        <w:spacing w:line="4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投资估算</w:t>
      </w:r>
      <w:r>
        <w:rPr>
          <w:rFonts w:hint="eastAsia" w:ascii="仿宋" w:hAnsi="仿宋" w:eastAsia="仿宋" w:cs="仿宋"/>
          <w:b/>
          <w:bCs/>
          <w:sz w:val="32"/>
          <w:szCs w:val="32"/>
          <w:lang w:val="en-US" w:eastAsia="zh-CN"/>
        </w:rPr>
        <w:t>及</w:t>
      </w:r>
      <w:r>
        <w:rPr>
          <w:rFonts w:hint="eastAsia" w:ascii="仿宋" w:hAnsi="仿宋" w:eastAsia="仿宋" w:cs="仿宋"/>
          <w:b/>
          <w:sz w:val="32"/>
          <w:szCs w:val="32"/>
        </w:rPr>
        <w:t>技术经济指标估算</w:t>
      </w:r>
      <w:r>
        <w:rPr>
          <w:rFonts w:hint="eastAsia" w:ascii="仿宋" w:hAnsi="仿宋" w:eastAsia="仿宋" w:cs="仿宋"/>
          <w:sz w:val="32"/>
          <w:szCs w:val="32"/>
        </w:rPr>
        <w:t>：</w:t>
      </w:r>
      <w:r>
        <w:rPr>
          <w:rFonts w:hint="eastAsia" w:ascii="仿宋" w:hAnsi="仿宋" w:eastAsia="仿宋" w:cs="仿宋"/>
          <w:color w:val="000000"/>
          <w:kern w:val="0"/>
          <w:sz w:val="32"/>
          <w:szCs w:val="32"/>
          <w:lang w:val="en-US" w:eastAsia="zh-CN" w:bidi="ar"/>
        </w:rPr>
        <w:t>项目总投资25,216.3万元，其中固定资产投资20,216.3万元、铺底流动资金5000万元。</w:t>
      </w:r>
    </w:p>
    <w:p>
      <w:pPr>
        <w:keepNext w:val="0"/>
        <w:keepLines w:val="0"/>
        <w:pageBreakBefore w:val="0"/>
        <w:widowControl w:val="0"/>
        <w:kinsoku/>
        <w:wordWrap/>
        <w:overflowPunct/>
        <w:topLinePunct w:val="0"/>
        <w:autoSpaceDE/>
        <w:autoSpaceDN/>
        <w:bidi w:val="0"/>
        <w:adjustRightInd/>
        <w:spacing w:line="460" w:lineRule="exact"/>
        <w:jc w:val="both"/>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rPr>
      </w:pPr>
      <w:r>
        <w:rPr>
          <w:rFonts w:hint="eastAsia"/>
          <w:b/>
          <w:bCs/>
          <w:sz w:val="44"/>
          <w:szCs w:val="44"/>
          <w:lang w:val="en-US" w:eastAsia="zh-CN"/>
        </w:rPr>
        <w:t>装配式建筑材料项目</w:t>
      </w:r>
    </w:p>
    <w:p>
      <w:pPr>
        <w:jc w:val="both"/>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lang w:val="en-US"/>
        </w:rPr>
      </w:pPr>
      <w:r>
        <w:rPr>
          <w:rFonts w:hint="eastAsia" w:ascii="仿宋" w:hAnsi="仿宋" w:eastAsia="仿宋" w:cs="仿宋"/>
          <w:b/>
          <w:bCs/>
          <w:sz w:val="32"/>
          <w:szCs w:val="32"/>
        </w:rPr>
        <w:t>项目简介</w:t>
      </w:r>
      <w:r>
        <w:rPr>
          <w:rFonts w:hint="eastAsia" w:ascii="仿宋" w:hAnsi="仿宋" w:eastAsia="仿宋" w:cs="仿宋"/>
          <w:sz w:val="32"/>
          <w:szCs w:val="32"/>
        </w:rPr>
        <w:t>：装配式建筑是我国建筑产业的方向，尤其在国际国内环保政策高压下，砂石水泥的传统建筑材料价格节节攀升，且传统建筑行业会产生大量建筑粉尘、施工噪声、建筑垃圾等环境污染物。而工场生产，现场拼装的装配式模式将会大大减少污染物的排放，更加合理地配置资源的使用，达到节能环保的效果</w:t>
      </w:r>
      <w:r>
        <w:rPr>
          <w:rFonts w:hint="eastAsia" w:ascii="仿宋" w:hAnsi="仿宋" w:eastAsia="仿宋" w:cs="仿宋"/>
          <w:sz w:val="32"/>
          <w:szCs w:val="32"/>
          <w:lang w:val="en-US"/>
        </w:rPr>
        <w:t>。</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sz w:val="32"/>
          <w:szCs w:val="32"/>
          <w:lang w:val="en-US" w:eastAsia="zh-CN"/>
        </w:rPr>
        <w:t>拟</w:t>
      </w:r>
      <w:r>
        <w:rPr>
          <w:rFonts w:hint="eastAsia" w:ascii="仿宋" w:hAnsi="仿宋" w:eastAsia="仿宋" w:cs="仿宋"/>
          <w:sz w:val="32"/>
          <w:szCs w:val="32"/>
        </w:rPr>
        <w:t>在</w:t>
      </w:r>
      <w:r>
        <w:rPr>
          <w:rFonts w:hint="eastAsia" w:ascii="仿宋" w:hAnsi="仿宋" w:eastAsia="仿宋" w:cs="仿宋"/>
          <w:sz w:val="32"/>
          <w:szCs w:val="32"/>
          <w:lang w:val="en-US" w:eastAsia="zh-CN"/>
        </w:rPr>
        <w:t>临河区</w:t>
      </w:r>
      <w:r>
        <w:rPr>
          <w:rFonts w:hint="eastAsia" w:ascii="仿宋" w:hAnsi="仿宋" w:eastAsia="仿宋" w:cs="仿宋"/>
          <w:sz w:val="32"/>
          <w:szCs w:val="32"/>
        </w:rPr>
        <w:t>投资建设</w:t>
      </w:r>
      <w:r>
        <w:rPr>
          <w:rFonts w:hint="eastAsia" w:ascii="仿宋" w:hAnsi="仿宋" w:eastAsia="仿宋" w:cs="仿宋"/>
          <w:sz w:val="32"/>
          <w:szCs w:val="32"/>
          <w:lang w:val="en-US" w:eastAsia="zh-CN"/>
        </w:rPr>
        <w:t>超低能耗装配式建筑产业园项目</w:t>
      </w:r>
      <w:r>
        <w:rPr>
          <w:rFonts w:hint="eastAsia" w:ascii="仿宋" w:hAnsi="仿宋" w:eastAsia="仿宋" w:cs="仿宋"/>
          <w:sz w:val="32"/>
          <w:szCs w:val="32"/>
        </w:rPr>
        <w:t>，</w:t>
      </w:r>
      <w:r>
        <w:rPr>
          <w:rFonts w:hint="eastAsia" w:ascii="仿宋" w:hAnsi="仿宋" w:eastAsia="仿宋" w:cs="仿宋"/>
          <w:sz w:val="32"/>
          <w:szCs w:val="32"/>
          <w:lang w:eastAsia="zh-CN"/>
        </w:rPr>
        <w:t>该项目</w:t>
      </w:r>
      <w:r>
        <w:rPr>
          <w:rFonts w:hint="eastAsia" w:ascii="仿宋" w:hAnsi="仿宋" w:eastAsia="仿宋" w:cs="仿宋"/>
          <w:sz w:val="32"/>
          <w:szCs w:val="32"/>
        </w:rPr>
        <w:t>以</w:t>
      </w:r>
      <w:r>
        <w:rPr>
          <w:rFonts w:hint="eastAsia" w:ascii="仿宋" w:hAnsi="仿宋" w:eastAsia="仿宋" w:cs="仿宋"/>
          <w:sz w:val="32"/>
          <w:szCs w:val="32"/>
          <w:lang w:val="en-US" w:eastAsia="zh-CN"/>
        </w:rPr>
        <w:t>粉煤灰、镁基胶凝材料为原料生产镁基发泡混凝土超低能耗建筑系列部品部件</w:t>
      </w:r>
      <w:r>
        <w:rPr>
          <w:rFonts w:hint="eastAsia" w:ascii="仿宋" w:hAnsi="仿宋" w:eastAsia="仿宋" w:cs="仿宋"/>
          <w:sz w:val="32"/>
          <w:szCs w:val="32"/>
        </w:rPr>
        <w:t>。</w:t>
      </w:r>
      <w:r>
        <w:rPr>
          <w:rFonts w:hint="eastAsia" w:ascii="仿宋" w:hAnsi="仿宋" w:eastAsia="仿宋" w:cs="仿宋"/>
          <w:sz w:val="32"/>
          <w:szCs w:val="32"/>
          <w:lang w:val="en-US" w:eastAsia="zh-CN"/>
        </w:rPr>
        <w:t>拟选址地块位于临河区再生资源循环利用产业园内，</w:t>
      </w:r>
      <w:r>
        <w:rPr>
          <w:rFonts w:hint="eastAsia" w:ascii="仿宋" w:hAnsi="仿宋" w:eastAsia="仿宋" w:cs="仿宋"/>
          <w:sz w:val="32"/>
          <w:szCs w:val="32"/>
        </w:rPr>
        <w:t>投资</w:t>
      </w:r>
      <w:r>
        <w:rPr>
          <w:rFonts w:hint="eastAsia" w:ascii="仿宋" w:hAnsi="仿宋" w:eastAsia="仿宋" w:cs="仿宋"/>
          <w:sz w:val="32"/>
          <w:szCs w:val="32"/>
          <w:lang w:val="en-US" w:eastAsia="zh-CN"/>
        </w:rPr>
        <w:t>估算1亿元。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总投资额：1</w:t>
      </w:r>
      <w:r>
        <w:rPr>
          <w:rFonts w:hint="eastAsia" w:ascii="仿宋" w:hAnsi="仿宋" w:eastAsia="仿宋" w:cs="仿宋"/>
          <w:b w:val="0"/>
          <w:bCs w:val="0"/>
          <w:sz w:val="32"/>
          <w:szCs w:val="32"/>
          <w:lang w:val="en-US" w:eastAsia="zh-CN"/>
        </w:rPr>
        <w:t>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0.3亿元，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0.225亿元。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rPr>
      </w:pPr>
      <w:r>
        <w:rPr>
          <w:rFonts w:hint="eastAsia"/>
          <w:b/>
          <w:bCs/>
          <w:sz w:val="44"/>
          <w:szCs w:val="44"/>
          <w:lang w:val="en-US" w:eastAsia="zh-CN"/>
        </w:rPr>
        <w:t>新能源换电农机装备制造项目</w:t>
      </w:r>
    </w:p>
    <w:p>
      <w:pPr>
        <w:jc w:val="both"/>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lang w:val="en-US"/>
        </w:rPr>
      </w:pPr>
      <w:r>
        <w:rPr>
          <w:rFonts w:hint="eastAsia" w:ascii="仿宋" w:hAnsi="仿宋" w:eastAsia="仿宋" w:cs="仿宋"/>
          <w:b/>
          <w:bCs/>
          <w:sz w:val="32"/>
          <w:szCs w:val="32"/>
        </w:rPr>
        <w:t>项目简介</w:t>
      </w:r>
      <w:r>
        <w:rPr>
          <w:rFonts w:hint="eastAsia" w:ascii="仿宋" w:hAnsi="仿宋" w:eastAsia="仿宋" w:cs="仿宋"/>
          <w:sz w:val="32"/>
          <w:szCs w:val="32"/>
        </w:rPr>
        <w:t>：新能源产业是衡量一个国家和地区高新技术发展水平的重要依据，也是新一轮国际竞争的战略制高点，世界发达国家和地区都把发展新能源作为顺应科技潮流、推进产业结构调整的重要举措。加之，我国提出区域专业化、产业集聚化的方针，并大力规划、发展新能源产业，相继出台一系列扶持政策，使得新能源产业如雨后春笋般涌现。</w:t>
      </w:r>
      <w:r>
        <w:rPr>
          <w:rFonts w:hint="eastAsia" w:ascii="仿宋" w:hAnsi="仿宋" w:eastAsia="仿宋" w:cs="仿宋"/>
          <w:sz w:val="32"/>
          <w:szCs w:val="32"/>
          <w:lang w:val="en-US"/>
        </w:rPr>
        <w:t>。</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sz w:val="32"/>
          <w:szCs w:val="32"/>
          <w:lang w:val="en-US" w:eastAsia="zh-CN"/>
        </w:rPr>
        <w:t>拟建设占地100亩的新能源换电农机装备制造产业园，项目计划购置生产设备120台（套）。园区内规划建设生产厂房，办公楼，设备装备研发中心，设备检测实验室，大数据中心以及相关配套设备设施等。计划引进国内、国际知名换电农机装备制造企业和太阳能组件制造企业，最少引进1-2换电农机装备制造企业，引进2户以上光伏装备制造企业。。</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总投资额：3.7</w:t>
      </w:r>
      <w:r>
        <w:rPr>
          <w:rFonts w:hint="eastAsia" w:ascii="仿宋" w:hAnsi="仿宋" w:eastAsia="仿宋" w:cs="仿宋"/>
          <w:b w:val="0"/>
          <w:bCs w:val="0"/>
          <w:sz w:val="32"/>
          <w:szCs w:val="32"/>
          <w:lang w:val="en-US" w:eastAsia="zh-CN"/>
        </w:rPr>
        <w:t>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1.5亿元，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1.125亿元。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
      <w:pPr>
        <w:jc w:val="both"/>
        <w:rPr>
          <w:rFonts w:hint="eastAsia"/>
          <w:b/>
          <w:bCs/>
          <w:sz w:val="44"/>
          <w:szCs w:val="44"/>
          <w:lang w:val="en-US" w:eastAsia="zh-CN"/>
        </w:rPr>
      </w:pPr>
    </w:p>
    <w:p>
      <w:pPr>
        <w:jc w:val="center"/>
        <w:rPr>
          <w:rFonts w:hint="eastAsia"/>
          <w:b/>
          <w:bCs/>
          <w:sz w:val="44"/>
          <w:szCs w:val="44"/>
        </w:rPr>
      </w:pPr>
      <w:r>
        <w:rPr>
          <w:rFonts w:hint="eastAsia"/>
          <w:b/>
          <w:bCs/>
          <w:sz w:val="44"/>
          <w:szCs w:val="44"/>
          <w:lang w:val="en-US" w:eastAsia="zh-CN"/>
        </w:rPr>
        <w:t>航空燃油提炼</w:t>
      </w:r>
      <w:r>
        <w:rPr>
          <w:rFonts w:hint="eastAsia"/>
          <w:b/>
          <w:bCs/>
          <w:sz w:val="44"/>
          <w:szCs w:val="44"/>
        </w:rPr>
        <w:t>项目</w:t>
      </w:r>
    </w:p>
    <w:p>
      <w:pPr>
        <w:pStyle w:val="15"/>
        <w:rPr>
          <w:rFonts w:hint="eastAsia"/>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lang w:val="en-US"/>
        </w:rPr>
      </w:pPr>
      <w:r>
        <w:rPr>
          <w:rFonts w:hint="eastAsia" w:ascii="仿宋" w:hAnsi="仿宋" w:eastAsia="仿宋" w:cs="仿宋"/>
          <w:b/>
          <w:bCs/>
          <w:sz w:val="32"/>
          <w:szCs w:val="32"/>
        </w:rPr>
        <w:t>项目简介</w:t>
      </w:r>
      <w:r>
        <w:rPr>
          <w:rFonts w:hint="eastAsia" w:ascii="仿宋" w:hAnsi="仿宋" w:eastAsia="仿宋" w:cs="仿宋"/>
          <w:sz w:val="32"/>
          <w:szCs w:val="32"/>
        </w:rPr>
        <w:t>：生态文明建设已被提升为党和国家重要战略议题，列为中国特色社会主义建设“五位一体”的重要内容。习近平主席、李克强总理多次对生态文明建设做出长篇重要指示，多次强调生态文明建设的重要性、紧迫性。航空业减碳的必要性和迫切性非常突出</w:t>
      </w:r>
      <w:r>
        <w:rPr>
          <w:rFonts w:hint="eastAsia" w:ascii="仿宋" w:hAnsi="仿宋" w:eastAsia="仿宋" w:cs="仿宋"/>
          <w:sz w:val="32"/>
          <w:szCs w:val="32"/>
          <w:lang w:eastAsia="zh-CN"/>
        </w:rPr>
        <w:t>，</w:t>
      </w:r>
      <w:r>
        <w:rPr>
          <w:rFonts w:hint="eastAsia" w:ascii="仿宋" w:hAnsi="仿宋" w:eastAsia="仿宋" w:cs="仿宋"/>
          <w:sz w:val="32"/>
          <w:szCs w:val="32"/>
        </w:rPr>
        <w:t>可持续航空燃料是目前航空业减排的重要可行方案</w:t>
      </w:r>
      <w:r>
        <w:rPr>
          <w:rFonts w:hint="eastAsia" w:ascii="仿宋" w:hAnsi="仿宋" w:eastAsia="仿宋" w:cs="仿宋"/>
          <w:sz w:val="32"/>
          <w:szCs w:val="32"/>
          <w:lang w:eastAsia="zh-CN"/>
        </w:rPr>
        <w:t>，帮助满足航空业日益增长的可持续燃料需求，通过创新技术推动航空业碳减排，助力中国“碳达峰”和“碳中和”目标的实现</w:t>
      </w:r>
      <w:r>
        <w:rPr>
          <w:rFonts w:hint="eastAsia" w:ascii="仿宋" w:hAnsi="仿宋" w:eastAsia="仿宋" w:cs="仿宋"/>
          <w:sz w:val="32"/>
          <w:szCs w:val="32"/>
          <w:lang w:val="en-US"/>
        </w:rPr>
        <w:t>。</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：主要建设可持续航空燃料</w:t>
      </w:r>
      <w:r>
        <w:rPr>
          <w:rFonts w:hint="eastAsia" w:ascii="仿宋" w:hAnsi="仿宋" w:eastAsia="仿宋" w:cs="仿宋"/>
          <w:sz w:val="32"/>
          <w:szCs w:val="32"/>
          <w:lang w:val="en-US" w:eastAsia="zh-CN"/>
        </w:rPr>
        <w:t>生产示范园，建设使用厨余油和动物脂肪作为原料的燃油工坊，建造两套以厨余油和动物脂肪为原料的生产装置。该项目计划分两期进行建设，建成后将成为全市最大的以厨余油和动物脂肪为原料的可持续航空燃料生产基地之一。</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总投资额：10</w:t>
      </w:r>
      <w:r>
        <w:rPr>
          <w:rFonts w:hint="eastAsia" w:ascii="仿宋" w:hAnsi="仿宋" w:eastAsia="仿宋" w:cs="仿宋"/>
          <w:b w:val="0"/>
          <w:bCs w:val="0"/>
          <w:sz w:val="32"/>
          <w:szCs w:val="32"/>
          <w:lang w:val="en-US" w:eastAsia="zh-CN"/>
        </w:rPr>
        <w:t>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3亿元，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2.25亿元。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kern w:val="44"/>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b/>
          <w:bCs/>
          <w:kern w:val="44"/>
          <w:sz w:val="44"/>
          <w:szCs w:val="44"/>
        </w:rPr>
      </w:pPr>
    </w:p>
    <w:p>
      <w:pPr>
        <w:pStyle w:val="15"/>
        <w:jc w:val="center"/>
        <w:rPr>
          <w:rFonts w:hint="eastAsia" w:ascii="宋体" w:hAnsi="宋体" w:eastAsia="宋体" w:cs="宋体"/>
          <w:b/>
          <w:bCs/>
          <w:kern w:val="44"/>
          <w:sz w:val="44"/>
          <w:szCs w:val="44"/>
        </w:rPr>
      </w:pPr>
      <w:r>
        <w:rPr>
          <w:rFonts w:hint="eastAsia" w:ascii="宋体" w:hAnsi="宋体" w:eastAsia="宋体" w:cs="宋体"/>
          <w:b/>
          <w:bCs/>
          <w:color w:val="000000" w:themeColor="text1"/>
          <w:sz w:val="44"/>
          <w:szCs w:val="44"/>
          <w:lang w:val="en-US" w:eastAsia="zh-CN"/>
          <w14:textFill>
            <w14:solidFill>
              <w14:schemeClr w14:val="tx1"/>
            </w14:solidFill>
          </w14:textFill>
        </w:rPr>
        <w:t>氢能装备制造</w:t>
      </w:r>
      <w:r>
        <w:rPr>
          <w:rFonts w:hint="eastAsia" w:ascii="宋体" w:hAnsi="宋体" w:eastAsia="宋体" w:cs="宋体"/>
          <w:b/>
          <w:bCs/>
          <w:kern w:val="44"/>
          <w:sz w:val="44"/>
          <w:szCs w:val="44"/>
        </w:rPr>
        <w:t>项目</w:t>
      </w:r>
    </w:p>
    <w:p>
      <w:pPr>
        <w:jc w:val="center"/>
        <w:rPr>
          <w:rFonts w:hint="eastAsia" w:ascii="Times New Roman" w:hAnsi="Times New Roman"/>
          <w:b/>
          <w:bCs/>
          <w:kern w:val="44"/>
          <w:sz w:val="44"/>
          <w:szCs w:val="44"/>
        </w:rPr>
      </w:pPr>
    </w:p>
    <w:p>
      <w:pPr>
        <w:keepNext w:val="0"/>
        <w:keepLines w:val="0"/>
        <w:pageBreakBefore w:val="0"/>
        <w:widowControl w:val="0"/>
        <w:kinsoku/>
        <w:wordWrap/>
        <w:overflowPunct/>
        <w:topLinePunct/>
        <w:autoSpaceDE/>
        <w:autoSpaceDN/>
        <w:bidi w:val="0"/>
        <w:adjustRightInd/>
        <w:snapToGrid/>
        <w:spacing w:line="480" w:lineRule="exact"/>
        <w:ind w:firstLine="0"/>
        <w:textAlignment w:val="auto"/>
        <w:rPr>
          <w:rFonts w:hint="eastAsia" w:ascii="仿宋" w:hAnsi="仿宋" w:eastAsia="仿宋" w:cs="仿宋"/>
          <w:color w:val="auto"/>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eastAsia" w:ascii="仿宋" w:hAnsi="仿宋" w:eastAsia="仿宋" w:cs="仿宋"/>
          <w:color w:val="auto"/>
          <w:sz w:val="32"/>
          <w:szCs w:val="32"/>
        </w:rPr>
        <w:t>作为全球最大的能源消费国，我国资源禀赋相对较差，石油、天然气等优质能源短缺，石油进口率67.4%，天然气进口率39%，对外依存度较高。煤炭资源丰富，探明储量世界排名第2位，但发展粗放，不利于未来的可持续发展。氢气主要来源有两个：化石能源重整和水电解。其中，化石能源重整制氢是最主要的来源，占比约97%；电解水制氢立足于未来碳中性甚至负碳，被各界寄予厚望，但核心在于电力来源。按照当前全球和中国电力的平均碳强度计算，电解水制得1千克氢气的碳排放分别为25.2千克和35.84千克，甚至高于煤制氢（约20千克）的碳排放。</w:t>
      </w:r>
    </w:p>
    <w:p>
      <w:pPr>
        <w:keepNext w:val="0"/>
        <w:keepLines w:val="0"/>
        <w:pageBreakBefore w:val="0"/>
        <w:widowControl w:val="0"/>
        <w:kinsoku/>
        <w:wordWrap/>
        <w:overflowPunct/>
        <w:topLinePunct/>
        <w:autoSpaceDE/>
        <w:autoSpaceDN/>
        <w:bidi w:val="0"/>
        <w:adjustRightInd/>
        <w:snapToGrid/>
        <w:spacing w:line="480" w:lineRule="exact"/>
        <w:ind w:firstLine="560"/>
        <w:textAlignment w:val="auto"/>
        <w:rPr>
          <w:rFonts w:hint="eastAsia" w:ascii="仿宋" w:hAnsi="仿宋" w:eastAsia="仿宋" w:cs="仿宋"/>
          <w:sz w:val="32"/>
          <w:szCs w:val="32"/>
          <w:lang w:val="en-US"/>
        </w:rPr>
      </w:pPr>
      <w:r>
        <w:rPr>
          <w:rFonts w:hint="eastAsia" w:ascii="仿宋" w:hAnsi="仿宋" w:eastAsia="仿宋" w:cs="仿宋"/>
          <w:color w:val="auto"/>
          <w:sz w:val="32"/>
          <w:szCs w:val="32"/>
        </w:rPr>
        <w:t>巴彦淖尔有丰富的风能资源,年平均风速≥3.0 米/秒，风能技术可开发量超过6000万千瓦，占内蒙古的40%，是我国风能资源最丰富的地区之一。且当地能源丰富，电价低廉，大大降低了工厂的运营成本。</w:t>
      </w:r>
    </w:p>
    <w:p>
      <w:pPr>
        <w:keepNext w:val="0"/>
        <w:keepLines w:val="0"/>
        <w:pageBreakBefore w:val="0"/>
        <w:widowControl w:val="0"/>
        <w:kinsoku/>
        <w:wordWrap/>
        <w:overflowPunct/>
        <w:topLinePunct/>
        <w:autoSpaceDE/>
        <w:autoSpaceDN/>
        <w:bidi w:val="0"/>
        <w:adjustRightInd/>
        <w:snapToGrid/>
        <w:spacing w:line="480" w:lineRule="exact"/>
        <w:ind w:firstLine="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color w:val="auto"/>
          <w:sz w:val="32"/>
          <w:szCs w:val="32"/>
        </w:rPr>
        <w:t>10MW风电制氢示范及储能</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主要建设内容包括项目规划及建设、相关设备购置、上游风电企业对接、下游产品储存安排等。</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pacing w:line="480" w:lineRule="exact"/>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
          <w:color w:val="auto"/>
          <w:sz w:val="32"/>
          <w:szCs w:val="32"/>
        </w:rPr>
        <w:t>总投资6.5</w:t>
      </w:r>
      <w:r>
        <w:rPr>
          <w:rFonts w:hint="eastAsia" w:ascii="仿宋" w:hAnsi="仿宋" w:eastAsia="仿宋" w:cs="仿宋"/>
          <w:color w:val="auto"/>
          <w:sz w:val="32"/>
          <w:szCs w:val="32"/>
          <w:lang w:val="en-US" w:eastAsia="zh-CN"/>
        </w:rPr>
        <w:t>亿元</w:t>
      </w:r>
    </w:p>
    <w:p>
      <w:pPr>
        <w:keepNext w:val="0"/>
        <w:keepLines w:val="0"/>
        <w:pageBreakBefore w:val="0"/>
        <w:widowControl w:val="0"/>
        <w:kinsoku/>
        <w:wordWrap/>
        <w:overflowPunct/>
        <w:topLinePunct w:val="0"/>
        <w:autoSpaceDE/>
        <w:autoSpaceDN/>
        <w:bidi w:val="0"/>
        <w:adjustRightInd/>
        <w:spacing w:line="48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color w:val="auto"/>
          <w:sz w:val="32"/>
          <w:szCs w:val="32"/>
        </w:rPr>
        <w:t>年均利润总额0.8</w:t>
      </w:r>
      <w:r>
        <w:rPr>
          <w:rFonts w:hint="eastAsia" w:ascii="仿宋" w:hAnsi="仿宋" w:eastAsia="仿宋" w:cs="仿宋"/>
          <w:color w:val="auto"/>
          <w:sz w:val="32"/>
          <w:szCs w:val="32"/>
          <w:lang w:val="en-US" w:eastAsia="zh-CN"/>
        </w:rPr>
        <w:t>亿元，</w:t>
      </w:r>
      <w:r>
        <w:rPr>
          <w:rFonts w:hint="eastAsia" w:ascii="仿宋" w:hAnsi="仿宋" w:eastAsia="仿宋" w:cs="仿宋"/>
          <w:color w:val="auto"/>
          <w:sz w:val="32"/>
          <w:szCs w:val="32"/>
        </w:rPr>
        <w:t>年均税后利润0.7</w:t>
      </w:r>
      <w:r>
        <w:rPr>
          <w:rFonts w:hint="eastAsia" w:ascii="仿宋" w:hAnsi="仿宋" w:eastAsia="仿宋" w:cs="仿宋"/>
          <w:color w:val="auto"/>
          <w:sz w:val="32"/>
          <w:szCs w:val="32"/>
          <w:lang w:val="en-US" w:eastAsia="zh-CN"/>
        </w:rPr>
        <w:t>亿元。</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宋体" w:hAnsi="宋体" w:cs="宋体"/>
          <w:b/>
          <w:bCs/>
          <w:sz w:val="44"/>
          <w:szCs w:val="44"/>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pacing w:before="468" w:beforeLines="150" w:after="156" w:afterLines="50" w:line="500" w:lineRule="exact"/>
        <w:jc w:val="center"/>
        <w:textAlignment w:val="auto"/>
        <w:rPr>
          <w:rFonts w:hint="eastAsia" w:ascii="宋体" w:hAnsi="宋体" w:cs="宋体"/>
          <w:b/>
          <w:bCs/>
          <w:sz w:val="44"/>
          <w:szCs w:val="44"/>
        </w:rPr>
      </w:pPr>
      <w:r>
        <w:rPr>
          <w:rFonts w:hint="eastAsia" w:ascii="宋体" w:hAnsi="宋体" w:cs="宋体"/>
          <w:b/>
          <w:bCs/>
          <w:sz w:val="44"/>
          <w:szCs w:val="44"/>
        </w:rPr>
        <w:t>黄河全流域文化博览苑项目</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项目简介：</w:t>
      </w:r>
      <w:r>
        <w:rPr>
          <w:rFonts w:hint="eastAsia" w:ascii="仿宋" w:hAnsi="仿宋" w:eastAsia="仿宋" w:cs="仿宋"/>
          <w:sz w:val="32"/>
          <w:szCs w:val="32"/>
        </w:rPr>
        <w:t>巴彦淖尔因水而生、因水而兴、因水而美，黄河流经巴彦淖尔市345公里，年引水近60亿立方米，为地方经济社会发展提供了得天独厚的水资源条件，也注入了深厚的文化内涵。黄河文化作为河套文化的重要组成部分，它不仅渗透着历史的积淀，而且蕴涵着时代的精神。2019年，习近平总书记在黄河流域生态保护和高质量发展座谈会上强调，“要推进黄河文化遗产的系统保护，守好老祖宗留给我们的宝贵遗产。要深入挖掘黄河文化蕴含的时代价值，讲好“黄河故事”，延续历史文脉，坚定文化自信，为实现中华民族伟大复兴的中国梦凝聚精神力量”，为进一步贯彻落实总书记关于保护、传承、弘扬黄河文化的指示精神，进一步讲好“黄河故事”，我们策划了黄河全流域文化博览苑项目。</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建设内容：</w:t>
      </w:r>
      <w:r>
        <w:rPr>
          <w:rFonts w:hint="eastAsia" w:ascii="仿宋" w:hAnsi="仿宋" w:eastAsia="仿宋" w:cs="仿宋"/>
          <w:sz w:val="32"/>
          <w:szCs w:val="32"/>
        </w:rPr>
        <w:t>项目建设分五部分：黄河全流域文化博物馆、中国向日葵文化艺术博物馆、世界岩刻博物馆、黄河田园诗词文化园，以此展示巴彦淖尔的黄河文化、历史人文，并将其打造成服务沿黄经济带发展，浓缩地域精神，推动生态和谐的基地。</w:t>
      </w:r>
    </w:p>
    <w:p>
      <w:pPr>
        <w:keepNext w:val="0"/>
        <w:keepLines w:val="0"/>
        <w:pageBreakBefore w:val="0"/>
        <w:widowControl w:val="0"/>
        <w:kinsoku/>
        <w:wordWrap/>
        <w:overflowPunct/>
        <w:topLinePunct w:val="0"/>
        <w:autoSpaceDE/>
        <w:autoSpaceDN/>
        <w:bidi w:val="0"/>
        <w:adjustRightInd/>
        <w:spacing w:line="440" w:lineRule="exact"/>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投资规模</w:t>
      </w:r>
      <w:r>
        <w:rPr>
          <w:rFonts w:hint="eastAsia" w:ascii="仿宋" w:hAnsi="仿宋" w:eastAsia="仿宋" w:cs="仿宋"/>
          <w:sz w:val="32"/>
          <w:szCs w:val="32"/>
        </w:rPr>
        <w:t>：项目计划投资</w:t>
      </w:r>
      <w:r>
        <w:rPr>
          <w:rFonts w:hint="eastAsia" w:ascii="仿宋" w:hAnsi="仿宋" w:eastAsia="仿宋" w:cs="仿宋"/>
          <w:sz w:val="32"/>
          <w:szCs w:val="32"/>
          <w:lang w:val="en-US" w:eastAsia="zh-CN"/>
        </w:rPr>
        <w:t>8</w:t>
      </w:r>
      <w:r>
        <w:rPr>
          <w:rFonts w:hint="eastAsia" w:ascii="仿宋" w:hAnsi="仿宋" w:eastAsia="仿宋" w:cs="仿宋"/>
          <w:sz w:val="32"/>
          <w:szCs w:val="32"/>
        </w:rPr>
        <w:t>亿元，平均每个子项目投资2亿元。</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效益预测</w:t>
      </w:r>
      <w:r>
        <w:rPr>
          <w:rFonts w:hint="eastAsia" w:ascii="仿宋" w:hAnsi="仿宋" w:eastAsia="仿宋" w:cs="仿宋"/>
          <w:sz w:val="32"/>
          <w:szCs w:val="32"/>
        </w:rPr>
        <w:t>：项目建成后年可接待游客100万人，按照人均消费800元估算，年可实现营业收入8亿元。</w:t>
      </w: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right="0" w:rightChars="0" w:firstLine="0" w:firstLineChars="0"/>
        <w:jc w:val="both"/>
        <w:textAlignment w:val="auto"/>
        <w:outlineLvl w:val="9"/>
        <w:rPr>
          <w:rFonts w:hint="eastAsia" w:ascii="宋体" w:hAnsi="宋体" w:eastAsia="宋体" w:cs="宋体"/>
          <w:b/>
          <w:bCs/>
          <w:sz w:val="44"/>
          <w:szCs w:val="44"/>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章嘉庙湖智能医疗康养产业园项目</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项目背景：</w:t>
      </w:r>
      <w:r>
        <w:rPr>
          <w:rFonts w:hint="eastAsia" w:ascii="仿宋" w:hAnsi="仿宋" w:eastAsia="仿宋" w:cs="仿宋"/>
          <w:sz w:val="32"/>
          <w:szCs w:val="32"/>
          <w:lang w:val="en-US" w:eastAsia="zh-CN"/>
        </w:rPr>
        <w:t>智能医疗是通过打造健康档案区域医疗信息平台，利用最先进的物联网技术，实现患者与医务人员、医疗机构、医疗设备之间的互动，逐步达到信息化。近年来，随着互联网技术的快速发展，在远程智能医疗方面，国内发展比较快，比较先进的医院在移动信息化应用方面其实已经走到了前面。比如，可实现病历信息、病人信息、病情信息等的实时记录、传输与处理利用，使得在医院内部和医院之间通过联网，实时地、有效地共享相关信息，这一点对于实现远程医疗、专家会诊、医院转诊等可以起到很好的支撑作用，这主要源于政策层面的推进和技术层的支持。</w:t>
      </w:r>
    </w:p>
    <w:p>
      <w:pPr>
        <w:keepNext w:val="0"/>
        <w:keepLines w:val="0"/>
        <w:pageBreakBefore w:val="0"/>
        <w:widowControl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巴彦淖尔市现有 60 岁以上老年人 34.5 万人，占全市总人口 19.66%。我市老龄化速度较快，失能、部分失能老年人口增加，老年人的医疗服务需求和生活照料需求叠加的趋势越来越显著，健康养老需求日益强劲。目前有限的医疗卫生与养老服务资源以及彼此相对独立的服务体系远远不能满足老年人的需要，迫切需要为老年人提供医疗卫生与养老相结合的服务。加快推进医疗卫生与养老服务相结合，有利于提高养老院入住率、减轻医院病床压力、降低医保负担、盘活医疗卫生与养老服务资源；有利于满足老年人多层次、多样化的健康养老服务需求，让老年人拥有更多获得感，实现“老有所养、病有所医”；有利于深化医疗卫生体制改革，丰富医改工作内涵，推动智能医疗发展；有利于进一步扩大消费、拉动投资、增加就业、改善民生，推动经济发展、社会和谐，对稳增长、促改革、调结构、惠民生和推进健康巴彦淖尔建设、全面建成小康社会具有重要的现实意义。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建设条件：</w:t>
      </w:r>
      <w:r>
        <w:rPr>
          <w:rFonts w:hint="eastAsia" w:ascii="仿宋" w:hAnsi="仿宋" w:eastAsia="仿宋" w:cs="仿宋"/>
          <w:sz w:val="32"/>
          <w:szCs w:val="32"/>
          <w:lang w:val="en-US" w:eastAsia="zh-CN"/>
        </w:rPr>
        <w:t xml:space="preserve">充分发挥蒙医药、中医药在养老、康复、智能医疗等方面的独特优势，立足老年人健康养老服务需求，准确定位医养结合服务的目标、职能和模式，有目标、有任务、有规划地为老年人提供医疗与养老相融合的优质服务。章嘉庙湖养老健康产业园位于国家级巴彦淖尔经济技术开发区章嘉庙湖公园内，章嘉庙湖是开发区境内唯一一处天然湿地湖泊，地理位置优越，历史文化久远，因海子北侧原建于康熙四十年的章嘉庙而得名。章嘉庙湖湿地恢复生态旅游项目建设总面积 851 亩，其中水域面积 330 亩。充分发挥章嘉庙湖的自然灵性，结合章嘉庙的历史文化底蕴，以建设综合性生态旅游市民休闲公园为目标，以花卉主题、缤纷秋景为特色，倾力将其打造成为集水系园林、健身休闲、健康养老为一体的产业园。项目所在地块距离临河城区约 6 公里，依托巴彦淖尔经济技术开发区重点打造的章嘉庙湖，既形成亮丽宜人的景观，又提高养老院区域空气的湿度。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建设内容：</w:t>
      </w:r>
      <w:r>
        <w:rPr>
          <w:rFonts w:hint="eastAsia" w:ascii="仿宋" w:hAnsi="仿宋" w:eastAsia="仿宋" w:cs="仿宋"/>
          <w:sz w:val="32"/>
          <w:szCs w:val="32"/>
          <w:lang w:val="en-US" w:eastAsia="zh-CN"/>
        </w:rPr>
        <w:t xml:space="preserve">规划占地面积 200 亩,建筑面积 12000 平方米,主要包括：智能远程医疗站、智能养护中心和智能监测中心三大服务板块。 </w:t>
      </w:r>
    </w:p>
    <w:p>
      <w:pPr>
        <w:keepNext w:val="0"/>
        <w:keepLines w:val="0"/>
        <w:pageBreakBefore w:val="0"/>
        <w:widowControl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1.智能远程医疗站。依托国内“大有医网”等知名平台，参与健康中国战略，为人人健康服务，同时以医院为依托，利用大有医网的注册医生资源和医药资源形成医药、医疗器械、智能装备网络销售平台和慢病防治制剂生产中心。医疗站设置床位 100 张，其中医疗床位 60 张，康复床位 40 张。病房 70%为 50 平米的四人间、30%为 42 平米的豪华单人间。 </w:t>
      </w:r>
    </w:p>
    <w:p>
      <w:pPr>
        <w:keepNext w:val="0"/>
        <w:keepLines w:val="0"/>
        <w:pageBreakBefore w:val="0"/>
        <w:widowControl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2.智能养护中心。设置床位 100 张。自理老人入住的居所按家居式花园洋房设置；半自理和非自理老人入住的居所按星级宾馆式设置。在家居式两栋楼之间和宾馆式楼房一层，设置的护理站分别有：医护值班室、药房、餐厅、茶厅、公共活动区等。设置的多功能厅有：老年大学、影剧院、多功能厅、游泳池、健身房、棋牌室、心理咨询室、理发室、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图书馆、超市等。设置的多功能厅在每周定期为老人举办舞会、画展、歌咏比赛和举办各种文化娱乐活动。对半自理、非自理不能到场的老人，通过居室内高清电视欣赏各种文化娱乐的活动，使老人享受到无穷的乐趣。 </w:t>
      </w:r>
    </w:p>
    <w:p>
      <w:pPr>
        <w:keepNext w:val="0"/>
        <w:keepLines w:val="0"/>
        <w:pageBreakBefore w:val="0"/>
        <w:widowControl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3.智能监测中心。中心内设置的穿戴式仪器和射频仪器对老人进行生活照料、康复训练，对慢性病、老年痴呆等特殊老人群体提供健康监测，包括自动提示用药时间、服用禁忌、剩余药量，还能够使半自理、非自理的老人站立、行走、到室外活动和沐浴阳光等。同时对老人的健康状态、过敏源信息、医疗信息、医学影像信息整理成电子健康信息库，方便进行远程会诊。设置遥感监测仪。高血压、心脑血管疾病等高危老人，通过遥感监测设备进行昼夜监测，当身体指标出现异常，遥感监测设备能够自动报警，得到医护人员及时救护。 </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投资估算</w:t>
      </w:r>
      <w:r>
        <w:rPr>
          <w:rFonts w:hint="eastAsia" w:ascii="仿宋" w:hAnsi="仿宋" w:eastAsia="仿宋" w:cs="仿宋"/>
          <w:sz w:val="32"/>
          <w:szCs w:val="32"/>
          <w:lang w:val="en-US" w:eastAsia="zh-CN"/>
        </w:rPr>
        <w:t>：总投资约 3 亿元。</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lef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pacing w:line="48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rPr>
        <w:t>医养结合康养社区项目</w:t>
      </w:r>
    </w:p>
    <w:p>
      <w:pPr>
        <w:keepNext w:val="0"/>
        <w:keepLines w:val="0"/>
        <w:pageBreakBefore w:val="0"/>
        <w:widowControl w:val="0"/>
        <w:kinsoku/>
        <w:wordWrap/>
        <w:overflowPunct/>
        <w:topLinePunct w:val="0"/>
        <w:autoSpaceDE/>
        <w:autoSpaceDN/>
        <w:bidi w:val="0"/>
        <w:adjustRightInd/>
        <w:spacing w:line="44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项目简介：</w:t>
      </w:r>
      <w:r>
        <w:rPr>
          <w:rFonts w:hint="eastAsia" w:ascii="仿宋" w:hAnsi="仿宋" w:eastAsia="仿宋" w:cs="仿宋"/>
          <w:sz w:val="32"/>
          <w:szCs w:val="32"/>
        </w:rPr>
        <w:t>巴彦淖尔总面积6.5万平方公里，总人口1</w:t>
      </w:r>
      <w:r>
        <w:rPr>
          <w:rFonts w:hint="eastAsia" w:ascii="仿宋" w:hAnsi="仿宋" w:eastAsia="仿宋" w:cs="仿宋"/>
          <w:sz w:val="32"/>
          <w:szCs w:val="32"/>
          <w:lang w:val="en-US" w:eastAsia="zh-CN"/>
        </w:rPr>
        <w:t>53.87</w:t>
      </w:r>
      <w:r>
        <w:rPr>
          <w:rFonts w:hint="eastAsia" w:ascii="仿宋" w:hAnsi="仿宋" w:eastAsia="仿宋" w:cs="仿宋"/>
          <w:sz w:val="32"/>
          <w:szCs w:val="32"/>
        </w:rPr>
        <w:t>万人，市区临河区人口5</w:t>
      </w:r>
      <w:r>
        <w:rPr>
          <w:rFonts w:hint="eastAsia" w:ascii="仿宋" w:hAnsi="仿宋" w:eastAsia="仿宋" w:cs="仿宋"/>
          <w:sz w:val="32"/>
          <w:szCs w:val="32"/>
          <w:lang w:val="en-US" w:eastAsia="zh-CN"/>
        </w:rPr>
        <w:t>8.22</w:t>
      </w:r>
      <w:r>
        <w:rPr>
          <w:rFonts w:hint="eastAsia" w:ascii="仿宋" w:hAnsi="仿宋" w:eastAsia="仿宋" w:cs="仿宋"/>
          <w:sz w:val="32"/>
          <w:szCs w:val="32"/>
        </w:rPr>
        <w:t>万人。20</w:t>
      </w:r>
      <w:r>
        <w:rPr>
          <w:rFonts w:hint="eastAsia" w:ascii="仿宋" w:hAnsi="仿宋" w:eastAsia="仿宋" w:cs="仿宋"/>
          <w:sz w:val="32"/>
          <w:szCs w:val="32"/>
          <w:lang w:val="en-US" w:eastAsia="zh-CN"/>
        </w:rPr>
        <w:t>20</w:t>
      </w:r>
      <w:r>
        <w:rPr>
          <w:rFonts w:hint="eastAsia" w:ascii="仿宋" w:hAnsi="仿宋" w:eastAsia="仿宋" w:cs="仿宋"/>
          <w:sz w:val="32"/>
          <w:szCs w:val="32"/>
        </w:rPr>
        <w:t>年巴彦淖尔市60岁以上人口3</w:t>
      </w:r>
      <w:r>
        <w:rPr>
          <w:rFonts w:hint="eastAsia" w:ascii="仿宋" w:hAnsi="仿宋" w:eastAsia="仿宋" w:cs="仿宋"/>
          <w:sz w:val="32"/>
          <w:szCs w:val="32"/>
          <w:lang w:val="en-US" w:eastAsia="zh-CN"/>
        </w:rPr>
        <w:t>2.5</w:t>
      </w:r>
      <w:r>
        <w:rPr>
          <w:rFonts w:hint="eastAsia" w:ascii="仿宋" w:hAnsi="仿宋" w:eastAsia="仿宋" w:cs="仿宋"/>
          <w:sz w:val="32"/>
          <w:szCs w:val="32"/>
        </w:rPr>
        <w:t>万人，占全市总人口2</w:t>
      </w:r>
      <w:r>
        <w:rPr>
          <w:rFonts w:hint="eastAsia" w:ascii="仿宋" w:hAnsi="仿宋" w:eastAsia="仿宋" w:cs="仿宋"/>
          <w:sz w:val="32"/>
          <w:szCs w:val="32"/>
          <w:lang w:val="en-US" w:eastAsia="zh-CN"/>
        </w:rPr>
        <w:t>1.13</w:t>
      </w:r>
      <w:r>
        <w:rPr>
          <w:rFonts w:hint="eastAsia" w:ascii="仿宋" w:hAnsi="仿宋" w:eastAsia="仿宋" w:cs="仿宋"/>
          <w:sz w:val="32"/>
          <w:szCs w:val="32"/>
        </w:rPr>
        <w:t>%。人口老龄化进程明显加快，急需建设一个管理先进的养老社区。</w:t>
      </w:r>
    </w:p>
    <w:p>
      <w:pPr>
        <w:keepNext w:val="0"/>
        <w:keepLines w:val="0"/>
        <w:pageBreakBefore w:val="0"/>
        <w:widowControl w:val="0"/>
        <w:kinsoku/>
        <w:wordWrap/>
        <w:overflowPunct/>
        <w:topLinePunct w:val="0"/>
        <w:autoSpaceDE/>
        <w:autoSpaceDN/>
        <w:bidi w:val="0"/>
        <w:adjustRightInd/>
        <w:spacing w:line="50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rPr>
        <w:t>双河区是一处以自然风光为主体，集生态旅游、度假旅游、文体娱乐为一体的居住和旅游休闲胜地。这里清新宁静，空气中负氧离子是市区的3倍。南与鄂尔多斯市隔河相望，北靠临河主城区，湿地资源丰富，人文环境浓厚，自然风光优美，非常适宜在这里建设养老社区，为当地和全国老年人提供最舒适的养老生活环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建设内容：</w:t>
      </w:r>
      <w:r>
        <w:rPr>
          <w:rFonts w:hint="eastAsia" w:ascii="仿宋" w:hAnsi="仿宋" w:eastAsia="仿宋" w:cs="仿宋"/>
          <w:sz w:val="32"/>
          <w:szCs w:val="32"/>
        </w:rPr>
        <w:t>拟建设医养结合养老养生中心，老年公寓、老年休闲娱乐中心、康复医院、健康会所、专业护理区、失智照料区、星级酒店、医疗康复中心区、老年度假疗养区、运动养身区、基础设施配套等。项目选址于巴彦淖尔市双河区，地处黄河和总干渠中间，地理位置优越。规划占地面积1000亩，建筑面积60多万平方米。</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：总投资</w:t>
      </w:r>
      <w:r>
        <w:rPr>
          <w:rFonts w:hint="eastAsia" w:ascii="仿宋" w:hAnsi="仿宋" w:eastAsia="仿宋" w:cs="仿宋"/>
          <w:sz w:val="32"/>
          <w:szCs w:val="32"/>
          <w:lang w:val="en-US" w:eastAsia="zh-CN"/>
        </w:rPr>
        <w:t>4.5亿元，</w:t>
      </w:r>
      <w:r>
        <w:rPr>
          <w:rFonts w:hint="eastAsia" w:ascii="仿宋" w:hAnsi="仿宋" w:eastAsia="仿宋" w:cs="仿宋"/>
          <w:sz w:val="32"/>
          <w:szCs w:val="32"/>
        </w:rPr>
        <w:t>建设投资</w:t>
      </w:r>
      <w:r>
        <w:rPr>
          <w:rFonts w:hint="eastAsia" w:ascii="仿宋" w:hAnsi="仿宋" w:eastAsia="仿宋" w:cs="仿宋"/>
          <w:sz w:val="32"/>
          <w:szCs w:val="32"/>
          <w:lang w:val="en-US" w:eastAsia="zh-CN"/>
        </w:rPr>
        <w:t>2.5亿元。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效益预测</w:t>
      </w:r>
      <w:r>
        <w:rPr>
          <w:rFonts w:hint="eastAsia" w:ascii="仿宋" w:hAnsi="仿宋" w:eastAsia="仿宋" w:cs="仿宋"/>
          <w:sz w:val="32"/>
          <w:szCs w:val="32"/>
        </w:rPr>
        <w:t>：年均利润总额0.6</w:t>
      </w:r>
      <w:r>
        <w:rPr>
          <w:rFonts w:hint="eastAsia" w:ascii="仿宋" w:hAnsi="仿宋" w:eastAsia="仿宋" w:cs="仿宋"/>
          <w:sz w:val="32"/>
          <w:szCs w:val="32"/>
          <w:lang w:val="en-US" w:eastAsia="zh-CN"/>
        </w:rPr>
        <w:t>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0.45亿元。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right="0" w:rightChars="0"/>
        <w:jc w:val="center"/>
        <w:textAlignment w:val="auto"/>
        <w:outlineLvl w:val="9"/>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北边区开发及改造项目</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项目简介：</w:t>
      </w:r>
      <w:r>
        <w:rPr>
          <w:rFonts w:hint="eastAsia" w:ascii="仿宋" w:hAnsi="仿宋" w:eastAsia="仿宋" w:cs="仿宋"/>
          <w:b w:val="0"/>
          <w:bCs w:val="0"/>
          <w:sz w:val="32"/>
          <w:szCs w:val="32"/>
          <w:lang w:val="en-US" w:eastAsia="zh-CN"/>
        </w:rPr>
        <w:t>北边渠景观绿化及商业地产项目依托临河区北边渠棚户区改造项目进行，项目总长度为2.2公里分为东西两段。其中西段：水源路—团结路长1.4公里，总占地面积348622.69平米（522.67亩），渠系占地145600平米（218.4亩），可利用土地面积304.27亩。东段：胜利路—建设路长0.8公里，总占地面积112313.75平米（168.5亩），其中渠系占地83200平米（124.8亩），可利用土地面积43.7亩。按500元/平米的绿化费用计算，2.2公里长104米宽的绿化建设，总投资1.15亿，拟采用企业垫资。结合商业地产项目给予开发商回报方式解决。</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建设内容：</w:t>
      </w:r>
      <w:r>
        <w:rPr>
          <w:rFonts w:hint="eastAsia" w:ascii="仿宋" w:hAnsi="仿宋" w:eastAsia="仿宋" w:cs="仿宋"/>
          <w:b w:val="0"/>
          <w:bCs w:val="0"/>
          <w:sz w:val="32"/>
          <w:szCs w:val="32"/>
          <w:lang w:val="en-US" w:eastAsia="zh-CN"/>
        </w:rPr>
        <w:t>商业地产项目土地出让价格应不低于300万/亩，才能保证政府在整个项目上不贴钱，如果政府将商业、地产项目供地价格放在350万元/亩，347.97亩土地可产生土地利润1.74亿元。</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该项目总投资由两部分构成：</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一、按容积率2.0计算，可开发面积为46.39万平米</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建安成本：1950元/平米×463900平米=9.05亿元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土地成本：347.97亩×350万元/亩=12.18亿元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(以上两项费用总投资21.23亿元)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按平均销售价格5000元/平米计算，总价值为23.19亿元，减去绿化费用和土地费用及建安费用，利润为0.81亿元；</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二、按容积率按2.5计算，可开发面积为579890平米，</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建安成本：1950元/平米×579890平米=11.3亿元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土地成本：347.97亩×350万元/亩=12.18亿元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(以上两项投资合计为23.48亿元)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按平均销售价格5000元/平米计算，销售总额为28.99亿元，减去绿化费用和土地、建安三项费用，净利润为4.36亿元。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区委、政府将通过招商引资，积极联系国内知名房地产开发企业如碧桂园、绿地、恒大、中信国安等，将该项目打造成临河一流精品项目。</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r>
        <w:rPr>
          <w:rFonts w:hint="eastAsia" w:ascii="宋体" w:hAnsi="宋体" w:eastAsia="宋体" w:cs="宋体"/>
          <w:b/>
          <w:bCs/>
          <w:sz w:val="44"/>
          <w:szCs w:val="44"/>
        </w:rPr>
        <w:t>镜湖旅游</w:t>
      </w:r>
      <w:r>
        <w:rPr>
          <w:rFonts w:hint="eastAsia" w:ascii="宋体" w:hAnsi="宋体" w:eastAsia="宋体" w:cs="宋体"/>
          <w:b/>
          <w:bCs/>
          <w:sz w:val="44"/>
          <w:szCs w:val="44"/>
          <w:lang w:val="en-US" w:eastAsia="zh-CN"/>
        </w:rPr>
        <w:t>康养</w:t>
      </w:r>
      <w:r>
        <w:rPr>
          <w:rFonts w:hint="eastAsia" w:ascii="宋体" w:hAnsi="宋体" w:eastAsia="宋体" w:cs="宋体"/>
          <w:b/>
          <w:bCs/>
          <w:sz w:val="44"/>
          <w:szCs w:val="44"/>
        </w:rPr>
        <w:t>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sz w:val="2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b/>
          <w:sz w:val="24"/>
        </w:rPr>
        <w:t xml:space="preserve"> </w:t>
      </w:r>
      <w:r>
        <w:rPr>
          <w:rFonts w:hint="eastAsia" w:ascii="仿宋" w:hAnsi="仿宋" w:eastAsia="仿宋" w:cs="仿宋"/>
          <w:b/>
          <w:sz w:val="32"/>
          <w:szCs w:val="32"/>
        </w:rPr>
        <w:t>项目简介：</w:t>
      </w:r>
      <w:r>
        <w:rPr>
          <w:rFonts w:hint="eastAsia" w:ascii="仿宋" w:hAnsi="仿宋" w:eastAsia="仿宋" w:cs="仿宋"/>
          <w:sz w:val="32"/>
          <w:szCs w:val="32"/>
        </w:rPr>
        <w:t>项目位于临河区镜湖湿地保护区，镜湖综合文化旅游城项目，开发用地1000亩。用地规划技术指标及出让手续按市规划要求和正常出让程序办理。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 xml:space="preserve"> 建设条件：</w:t>
      </w:r>
      <w:r>
        <w:rPr>
          <w:rFonts w:hint="eastAsia" w:ascii="仿宋" w:hAnsi="仿宋" w:eastAsia="仿宋" w:cs="仿宋"/>
          <w:sz w:val="32"/>
          <w:szCs w:val="32"/>
        </w:rPr>
        <w:t>临河区地处以京津为龙头的呼—包—银—兰经济带上，是内蒙古自治区西部地区交通枢纽之一。区位交通优势突出，旅游景观类型丰富，历史文化底蕴深厚，具备打造龙头旅游区的各类优势。</w:t>
      </w:r>
      <w:r>
        <w:rPr>
          <w:rFonts w:hint="eastAsia" w:ascii="仿宋" w:hAnsi="仿宋" w:eastAsia="仿宋" w:cs="仿宋"/>
          <w:sz w:val="32"/>
          <w:szCs w:val="32"/>
          <w:lang w:val="en-US" w:eastAsia="zh-CN"/>
        </w:rPr>
        <w:t>可以</w:t>
      </w:r>
      <w:r>
        <w:rPr>
          <w:rFonts w:hint="eastAsia" w:ascii="仿宋" w:hAnsi="仿宋" w:eastAsia="仿宋" w:cs="仿宋"/>
          <w:sz w:val="32"/>
          <w:szCs w:val="32"/>
        </w:rPr>
        <w:t>有力地拉动餐饮住宿、交通运输、商贸流通、休闲娱乐等产业的发展，以临河为圆心的半径300km区域内有人口约600万人，目前巴彦淖尔市特色旅游品牌还不够响亮，标志性的旅游形象也不够突出，旅游文化产品的色彩还不够丰富，发展方式较为粗放。巴彦淖尔市的都市旅游产品中还缺少大型文化旅游综合体品牌的领头企业。镜湖综合文化旅游城的建设将填补巴彦淖尔大型文化旅游综合体的空白。</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建设内容</w:t>
      </w:r>
      <w:r>
        <w:rPr>
          <w:rFonts w:hint="eastAsia" w:ascii="仿宋" w:hAnsi="仿宋" w:eastAsia="仿宋" w:cs="仿宋"/>
          <w:sz w:val="32"/>
          <w:szCs w:val="32"/>
        </w:rPr>
        <w:t>：镜湖旅游文化城规划</w:t>
      </w:r>
      <w:r>
        <w:rPr>
          <w:rFonts w:hint="eastAsia" w:ascii="仿宋" w:hAnsi="仿宋" w:eastAsia="仿宋" w:cs="仿宋"/>
          <w:sz w:val="32"/>
          <w:szCs w:val="32"/>
          <w:lang w:val="en-US" w:eastAsia="zh-CN"/>
        </w:rPr>
        <w:t>四</w:t>
      </w:r>
      <w:r>
        <w:rPr>
          <w:rFonts w:hint="eastAsia" w:ascii="仿宋" w:hAnsi="仿宋" w:eastAsia="仿宋" w:cs="仿宋"/>
          <w:sz w:val="32"/>
          <w:szCs w:val="32"/>
        </w:rPr>
        <w:t>大板块，即多功能综合服务板块、主题游乐板块、风情园板块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休闲康养</w:t>
      </w:r>
      <w:r>
        <w:rPr>
          <w:rFonts w:hint="eastAsia" w:ascii="仿宋" w:hAnsi="仿宋" w:eastAsia="仿宋" w:cs="仿宋"/>
          <w:sz w:val="32"/>
          <w:szCs w:val="32"/>
        </w:rPr>
        <w:t>。</w:t>
      </w:r>
      <w:r>
        <w:rPr>
          <w:rFonts w:hint="eastAsia" w:ascii="仿宋" w:hAnsi="仿宋" w:eastAsia="仿宋" w:cs="仿宋"/>
          <w:sz w:val="32"/>
          <w:szCs w:val="32"/>
          <w:lang w:val="en-US" w:eastAsia="zh-CN"/>
        </w:rPr>
        <w:t>九</w:t>
      </w:r>
      <w:r>
        <w:rPr>
          <w:rFonts w:hint="eastAsia" w:ascii="仿宋" w:hAnsi="仿宋" w:eastAsia="仿宋" w:cs="仿宋"/>
          <w:sz w:val="32"/>
          <w:szCs w:val="32"/>
        </w:rPr>
        <w:t>大功能区，即室内水上游乐、金苹果乐园、大型风情演艺、热带雨林主题会议休闲酒店、主题商业、美食街、蒙古风情园（赛马狩猎）、花海赏葵</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休闲康养</w:t>
      </w:r>
      <w:r>
        <w:rPr>
          <w:rFonts w:hint="eastAsia" w:ascii="仿宋" w:hAnsi="仿宋" w:eastAsia="仿宋" w:cs="仿宋"/>
          <w:sz w:val="32"/>
          <w:szCs w:val="32"/>
        </w:rPr>
        <w:t>等旅游文化功能区。</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投资规模：</w:t>
      </w:r>
      <w:r>
        <w:rPr>
          <w:rFonts w:hint="eastAsia" w:ascii="仿宋" w:hAnsi="仿宋" w:eastAsia="仿宋" w:cs="仿宋"/>
          <w:sz w:val="32"/>
          <w:szCs w:val="32"/>
        </w:rPr>
        <w:t>项目总投资约10亿元人民币。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效益预测：</w:t>
      </w:r>
      <w:r>
        <w:rPr>
          <w:rFonts w:hint="eastAsia" w:ascii="仿宋" w:hAnsi="仿宋" w:eastAsia="仿宋" w:cs="仿宋"/>
          <w:sz w:val="32"/>
          <w:szCs w:val="32"/>
        </w:rPr>
        <w:t>项目年均利润约1</w:t>
      </w:r>
      <w:r>
        <w:rPr>
          <w:rFonts w:hint="eastAsia" w:ascii="仿宋" w:hAnsi="仿宋" w:eastAsia="仿宋" w:cs="仿宋"/>
          <w:sz w:val="32"/>
          <w:szCs w:val="32"/>
          <w:lang w:val="en-US" w:eastAsia="zh-CN"/>
        </w:rPr>
        <w:t>.</w:t>
      </w:r>
      <w:r>
        <w:rPr>
          <w:rFonts w:hint="eastAsia" w:ascii="仿宋" w:hAnsi="仿宋" w:eastAsia="仿宋" w:cs="仿宋"/>
          <w:sz w:val="32"/>
          <w:szCs w:val="32"/>
        </w:rPr>
        <w:t>25</w:t>
      </w:r>
      <w:r>
        <w:rPr>
          <w:rFonts w:hint="eastAsia" w:ascii="仿宋" w:hAnsi="仿宋" w:eastAsia="仿宋" w:cs="仿宋"/>
          <w:sz w:val="32"/>
          <w:szCs w:val="32"/>
          <w:lang w:val="en-US" w:eastAsia="zh-CN"/>
        </w:rPr>
        <w:t>亿</w:t>
      </w:r>
      <w:r>
        <w:rPr>
          <w:rFonts w:hint="eastAsia" w:ascii="仿宋" w:hAnsi="仿宋" w:eastAsia="仿宋" w:cs="仿宋"/>
          <w:sz w:val="32"/>
          <w:szCs w:val="32"/>
        </w:rPr>
        <w:t>元，利润率12.5%，投资回收期8年（包括建设期）。</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b/>
          <w:bCs/>
          <w:sz w:val="44"/>
          <w:szCs w:val="44"/>
        </w:rPr>
      </w:pPr>
    </w:p>
    <w:p>
      <w:pPr>
        <w:pStyle w:val="15"/>
        <w:rPr>
          <w:rFonts w:hint="eastAsia"/>
          <w:b/>
          <w:bCs/>
          <w:sz w:val="44"/>
          <w:szCs w:val="44"/>
        </w:rPr>
      </w:pPr>
    </w:p>
    <w:p>
      <w:pPr>
        <w:jc w:val="center"/>
        <w:rPr>
          <w:rFonts w:hint="eastAsia"/>
          <w:b/>
          <w:bCs/>
          <w:sz w:val="44"/>
          <w:szCs w:val="44"/>
        </w:rPr>
      </w:pPr>
      <w:r>
        <w:rPr>
          <w:rFonts w:hint="eastAsia"/>
          <w:b/>
          <w:bCs/>
          <w:sz w:val="44"/>
          <w:szCs w:val="44"/>
        </w:rPr>
        <w:t>冰雪运动旅游开发项目</w:t>
      </w:r>
    </w:p>
    <w:p>
      <w:pPr>
        <w:jc w:val="center"/>
        <w:rPr>
          <w:rFonts w:hint="eastAsia"/>
          <w:b/>
          <w:bCs/>
          <w:sz w:val="44"/>
          <w:szCs w:val="44"/>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冰雪产业在我国属于一种新兴产业，是在冰雪资源开发的基础上形成的特殊资源型产业。其中，我国冰雪旅游为冰雪产业中的核心领域，冰雪旅游将带动冰雪特色小镇、冰雪文创、冰雪运动、冰雪制造、冰雪度假地产、冰雪会展等相关产业共同发展。</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left"/>
        <w:textAlignment w:val="auto"/>
        <w:rPr>
          <w:rFonts w:hint="eastAsia" w:ascii="仿宋" w:hAnsi="仿宋" w:eastAsia="仿宋" w:cs="仿宋"/>
          <w:sz w:val="32"/>
          <w:szCs w:val="32"/>
          <w:lang w:val="en-US"/>
        </w:rPr>
      </w:pPr>
      <w:r>
        <w:rPr>
          <w:rFonts w:hint="eastAsia" w:ascii="仿宋" w:hAnsi="仿宋" w:eastAsia="仿宋" w:cs="仿宋"/>
          <w:sz w:val="32"/>
          <w:szCs w:val="32"/>
        </w:rPr>
        <w:t>目前冰雪旅游发展已不再局限于单一的旅游观光，为强化经济带动作用，集多产业融合发展的“冰雪</w:t>
      </w:r>
      <w:r>
        <w:rPr>
          <w:rFonts w:hint="eastAsia" w:ascii="仿宋" w:hAnsi="仿宋" w:eastAsia="仿宋" w:cs="仿宋"/>
          <w:sz w:val="32"/>
          <w:szCs w:val="32"/>
          <w:lang w:val="en-US"/>
        </w:rPr>
        <w:t>+”战略正在成为各地冰雪旅游发展的新趋势。中国冰雪旅游发展正在进入重创意、重内容、重体验的阶段，冰雪+度假、冰雪+文化、冰雪+体育等发展模式受到广泛重视，冰雪旅游产业链条逐步延伸。近年来，我国冰雪产业快速发展，特别是2022年北京冬奥会的成功</w:t>
      </w:r>
      <w:r>
        <w:rPr>
          <w:rFonts w:hint="eastAsia" w:ascii="仿宋" w:hAnsi="仿宋" w:eastAsia="仿宋" w:cs="仿宋"/>
          <w:sz w:val="32"/>
          <w:szCs w:val="32"/>
          <w:lang w:val="en-US" w:eastAsia="zh-CN"/>
        </w:rPr>
        <w:t>举</w:t>
      </w:r>
      <w:r>
        <w:rPr>
          <w:rFonts w:hint="eastAsia" w:ascii="仿宋" w:hAnsi="仿宋" w:eastAsia="仿宋" w:cs="仿宋"/>
          <w:sz w:val="32"/>
          <w:szCs w:val="32"/>
          <w:lang w:val="en-US"/>
        </w:rPr>
        <w:t>办，为冰雪产业繁荣发展带来了重大机遇。在冰雪场景营造、文化引领、科技赋能全新的冰雪旅游产品诞生的趋势下，冰雪旅游成为我国旅游新热点。</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：拟项目主要建设</w:t>
      </w:r>
      <w:bookmarkStart w:id="8" w:name="_Hlk58249098"/>
      <w:r>
        <w:rPr>
          <w:rFonts w:hint="eastAsia" w:ascii="仿宋" w:hAnsi="仿宋" w:eastAsia="仿宋" w:cs="仿宋"/>
          <w:sz w:val="32"/>
          <w:szCs w:val="32"/>
        </w:rPr>
        <w:t>冬季滑雪场、养生养老度假区以及公共配套服务设施</w:t>
      </w:r>
      <w:bookmarkEnd w:id="8"/>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冬季滑雪场占地面积</w:t>
      </w:r>
      <w:r>
        <w:rPr>
          <w:rFonts w:hint="eastAsia" w:ascii="仿宋" w:hAnsi="仿宋" w:eastAsia="仿宋" w:cs="仿宋"/>
          <w:sz w:val="32"/>
          <w:szCs w:val="32"/>
          <w:lang w:val="en-US"/>
        </w:rPr>
        <w:t>13.5</w:t>
      </w:r>
      <w:r>
        <w:rPr>
          <w:rFonts w:hint="eastAsia" w:ascii="仿宋" w:hAnsi="仿宋" w:eastAsia="仿宋" w:cs="仿宋"/>
          <w:sz w:val="32"/>
          <w:szCs w:val="32"/>
        </w:rPr>
        <w:t>万㎡，建筑面积</w:t>
      </w:r>
      <w:r>
        <w:rPr>
          <w:rFonts w:hint="eastAsia" w:ascii="仿宋" w:hAnsi="仿宋" w:eastAsia="仿宋" w:cs="仿宋"/>
          <w:sz w:val="32"/>
          <w:szCs w:val="32"/>
          <w:lang w:val="en-US"/>
        </w:rPr>
        <w:t>5.9</w:t>
      </w:r>
      <w:r>
        <w:rPr>
          <w:rFonts w:hint="eastAsia" w:ascii="仿宋" w:hAnsi="仿宋" w:eastAsia="仿宋" w:cs="仿宋"/>
          <w:sz w:val="32"/>
          <w:szCs w:val="32"/>
        </w:rPr>
        <w:t>万㎡。包括入口广场、室外冰雪运动区、冰雪运动中心、专用滑雪教学训练场地、冰雪娱乐区及冰灯冰雕展区，室外冰雪运动区建设中、低、练习三条滑雪道、索道</w:t>
      </w:r>
      <w:r>
        <w:rPr>
          <w:rFonts w:hint="eastAsia" w:ascii="仿宋" w:hAnsi="仿宋" w:eastAsia="仿宋" w:cs="仿宋"/>
          <w:sz w:val="32"/>
          <w:szCs w:val="32"/>
          <w:lang w:val="en-US"/>
        </w:rPr>
        <w:t>3</w:t>
      </w:r>
      <w:r>
        <w:rPr>
          <w:rFonts w:hint="eastAsia" w:ascii="仿宋" w:hAnsi="仿宋" w:eastAsia="仿宋" w:cs="仿宋"/>
          <w:sz w:val="32"/>
          <w:szCs w:val="32"/>
        </w:rPr>
        <w:t>条、综合服务楼、山顶观光餐厅。冰雪运动中心包括速度滑冰馆、短道速滑馆、花样滑冰馆、冰球馆及冰壶馆。</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　　滑雪场夏季兼作户外休闲娱乐场（含滑草场、室外婚礼场地、山地自行车场地、垂钓园及登山步道）；专用滑雪教学训练场夏季兼作青少年夏令营地；冰雪娱乐区夏季兼作娱乐水世界；冰灯冰雕展区夏季兼作景观展示区。</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总投资额：</w:t>
      </w:r>
      <w:r>
        <w:rPr>
          <w:rFonts w:hint="eastAsia" w:ascii="仿宋" w:hAnsi="仿宋" w:eastAsia="仿宋" w:cs="仿宋"/>
          <w:b w:val="0"/>
          <w:bCs w:val="0"/>
          <w:sz w:val="32"/>
          <w:szCs w:val="32"/>
          <w:lang w:val="en-US" w:eastAsia="zh-CN"/>
        </w:rPr>
        <w:t>2亿元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0.6亿元，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0.45亿元。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
      <w:pPr>
        <w:pStyle w:val="15"/>
        <w:rPr>
          <w:rFonts w:hint="eastAsia"/>
          <w:b/>
          <w:bCs/>
          <w:sz w:val="44"/>
          <w:szCs w:val="44"/>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pStyle w:val="15"/>
        <w:rPr>
          <w:rFonts w:hint="eastAsia" w:ascii="仿宋" w:hAnsi="仿宋" w:eastAsia="仿宋" w:cs="仿宋"/>
          <w:b/>
          <w:bCs/>
          <w:sz w:val="32"/>
          <w:szCs w:val="32"/>
          <w:lang w:val="en-US" w:eastAsia="zh-CN"/>
        </w:rPr>
      </w:pPr>
    </w:p>
    <w:p>
      <w:pPr>
        <w:jc w:val="center"/>
        <w:rPr>
          <w:rFonts w:hint="eastAsia"/>
          <w:b/>
          <w:bCs/>
          <w:sz w:val="44"/>
          <w:szCs w:val="44"/>
        </w:rPr>
      </w:pPr>
      <w:r>
        <w:rPr>
          <w:rFonts w:hint="eastAsia"/>
          <w:b/>
          <w:bCs/>
          <w:sz w:val="44"/>
          <w:szCs w:val="44"/>
          <w:lang w:val="en-US" w:eastAsia="zh-CN"/>
        </w:rPr>
        <w:t>源网荷储一体化项目</w:t>
      </w:r>
    </w:p>
    <w:p>
      <w:pPr>
        <w:jc w:val="both"/>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lang w:val="en-US"/>
        </w:rPr>
      </w:pPr>
      <w:r>
        <w:rPr>
          <w:rFonts w:hint="eastAsia" w:ascii="仿宋" w:hAnsi="仿宋" w:eastAsia="仿宋" w:cs="仿宋"/>
          <w:b/>
          <w:bCs/>
          <w:sz w:val="32"/>
          <w:szCs w:val="32"/>
        </w:rPr>
        <w:t>项目简介</w:t>
      </w:r>
      <w:r>
        <w:rPr>
          <w:rFonts w:hint="eastAsia" w:ascii="仿宋" w:hAnsi="仿宋" w:eastAsia="仿宋" w:cs="仿宋"/>
          <w:sz w:val="32"/>
          <w:szCs w:val="32"/>
        </w:rPr>
        <w:t>：随着可再生能源的大规模接入，电力生产的波动性加大，电网保持安全稳定运行的难度加大，“源随荷动”的运行模式不再适用。而“源网荷储一体化”运行模式，可以通过源网协调、网荷互动、网储互动、源荷互动等多种交互方式，充分发挥发用电侧的调节能力，促进供需两侧精准匹配，保障电力供应的可靠性</w:t>
      </w:r>
      <w:r>
        <w:rPr>
          <w:rFonts w:hint="eastAsia" w:ascii="仿宋" w:hAnsi="仿宋" w:eastAsia="仿宋" w:cs="仿宋"/>
          <w:sz w:val="32"/>
          <w:szCs w:val="32"/>
          <w:lang w:val="en-US"/>
        </w:rPr>
        <w:t>。源网荷储一体化发展是电力行业坚持系统观念的内在要求，是实现电力系统高质量发展的客观需要，对于促进能源转型和经济社会发展具有重要意义。</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sz w:val="32"/>
          <w:szCs w:val="32"/>
          <w:lang w:val="en-US" w:eastAsia="zh-CN"/>
        </w:rPr>
        <w:t>该项目规划容量为2160mw，场区选址在巴彦淖尔市境内。项目拟建设电网友好型新一代“新能源+储能”电站，通过专线向工业园区供电。预计企业综合用电收益可提升约3%。每年可节约标煤约1021.11t，减排二氧化碳3038.95t、二氧化硫91.44t、氮氧化物45.72t、碳粉尘829.08t。</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总投资额：5</w:t>
      </w:r>
      <w:r>
        <w:rPr>
          <w:rFonts w:hint="eastAsia" w:ascii="仿宋" w:hAnsi="仿宋" w:eastAsia="仿宋" w:cs="仿宋"/>
          <w:b w:val="0"/>
          <w:bCs w:val="0"/>
          <w:sz w:val="32"/>
          <w:szCs w:val="32"/>
          <w:lang w:val="en-US" w:eastAsia="zh-CN"/>
        </w:rPr>
        <w:t>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2亿元，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1.5亿元。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both"/>
        <w:rPr>
          <w:rFonts w:hint="eastAsia" w:ascii="仿宋" w:hAnsi="仿宋" w:eastAsia="仿宋" w:cs="仿宋"/>
          <w:sz w:val="32"/>
          <w:szCs w:val="32"/>
        </w:rPr>
      </w:pPr>
    </w:p>
    <w:p>
      <w:pPr>
        <w:jc w:val="center"/>
        <w:rPr>
          <w:rFonts w:hint="eastAsia"/>
          <w:b/>
          <w:bCs/>
          <w:sz w:val="44"/>
          <w:szCs w:val="44"/>
        </w:rPr>
      </w:pPr>
      <w:r>
        <w:rPr>
          <w:rFonts w:hint="eastAsia" w:ascii="宋体" w:hAnsi="宋体"/>
          <w:b/>
          <w:bCs/>
          <w:sz w:val="44"/>
          <w:szCs w:val="44"/>
        </w:rPr>
        <w:t>创业投资引导基金</w:t>
      </w:r>
      <w:r>
        <w:rPr>
          <w:rFonts w:hint="eastAsia"/>
          <w:b/>
          <w:bCs/>
          <w:sz w:val="44"/>
          <w:szCs w:val="44"/>
        </w:rPr>
        <w:t>项目</w:t>
      </w:r>
    </w:p>
    <w:p>
      <w:pPr>
        <w:jc w:val="both"/>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eastAsia" w:ascii="仿宋" w:hAnsi="仿宋" w:eastAsia="仿宋" w:cs="仿宋"/>
          <w:sz w:val="32"/>
          <w:szCs w:val="32"/>
          <w:lang w:val="en-US" w:eastAsia="zh-CN"/>
        </w:rPr>
        <w:t>我国</w:t>
      </w:r>
      <w:r>
        <w:rPr>
          <w:rFonts w:hint="eastAsia" w:ascii="仿宋" w:hAnsi="仿宋" w:eastAsia="仿宋" w:cs="仿宋"/>
          <w:sz w:val="32"/>
          <w:szCs w:val="32"/>
        </w:rPr>
        <w:t>东部地区发展战略性新兴产业形成了科技服务和科技金融完整的体系。从北京到深圳，战略性新型产业在初创期都离不开政府创业投资引导基金、科技银行和社会风险投资基金的孵化。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我国西部地区创新资源缺乏，因此，发展战略性新兴产业更离不开科技金融的支持。巴彦淖尔市要发展新能源、新材料、生物技术和新一代信息技术产业，亦需要有科技金融的支持。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建设条件：</w:t>
      </w:r>
      <w:r>
        <w:rPr>
          <w:rFonts w:hint="eastAsia" w:ascii="仿宋" w:hAnsi="仿宋" w:eastAsia="仿宋" w:cs="仿宋"/>
          <w:sz w:val="32"/>
          <w:szCs w:val="32"/>
        </w:rPr>
        <w:t>利用电价低的有利条件吸引高耗电、高科技、高价值、低污染的人工晶体等新材料创业企业和团队。（2）利用丰富的风光资源条件吸引新一代光伏、氢能源等创业企业和团队。（3）利用河套良好的农业发展条件吸引高科技农业创业企业和团队和治沙创业企业和团队。（4）利用当地清洁的空气和丰富优质的农产品条件吸引生物技术产业创业企业和团队。（5）利用当地稳定的地质条件、寒冷的气候、低的电价条件吸引云计算创业企业和团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：科技金融支持建立新能源、新材料、生物技术、云计算、高新技术农业、高新技术沙产业孵化器。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总投资额及</w:t>
      </w: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p>
    <w:tbl>
      <w:tblPr>
        <w:tblStyle w:val="12"/>
        <w:tblpPr w:leftFromText="180" w:rightFromText="180" w:vertAnchor="text" w:horzAnchor="page" w:tblpX="1877" w:tblpY="505"/>
        <w:tblOverlap w:val="never"/>
        <w:tblW w:w="835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9"/>
        <w:gridCol w:w="2870"/>
        <w:gridCol w:w="1126"/>
        <w:gridCol w:w="1619"/>
        <w:gridCol w:w="187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859"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序号</w:t>
            </w:r>
          </w:p>
        </w:tc>
        <w:tc>
          <w:tcPr>
            <w:tcW w:w="2870"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项目名称</w:t>
            </w:r>
          </w:p>
        </w:tc>
        <w:tc>
          <w:tcPr>
            <w:tcW w:w="1126"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单位</w:t>
            </w:r>
          </w:p>
        </w:tc>
        <w:tc>
          <w:tcPr>
            <w:tcW w:w="1619"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数量</w:t>
            </w:r>
          </w:p>
        </w:tc>
        <w:tc>
          <w:tcPr>
            <w:tcW w:w="1878"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备  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59" w:type="dxa"/>
            <w:vAlign w:val="center"/>
          </w:tcPr>
          <w:p>
            <w:pPr>
              <w:tabs>
                <w:tab w:val="left" w:pos="233"/>
              </w:tabs>
              <w:spacing w:line="520" w:lineRule="exact"/>
              <w:jc w:val="left"/>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1</w:t>
            </w:r>
          </w:p>
        </w:tc>
        <w:tc>
          <w:tcPr>
            <w:tcW w:w="2870"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总投资</w:t>
            </w:r>
          </w:p>
        </w:tc>
        <w:tc>
          <w:tcPr>
            <w:tcW w:w="1126"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万元</w:t>
            </w:r>
          </w:p>
        </w:tc>
        <w:tc>
          <w:tcPr>
            <w:tcW w:w="1619" w:type="dxa"/>
            <w:vAlign w:val="center"/>
          </w:tcPr>
          <w:p>
            <w:pPr>
              <w:tabs>
                <w:tab w:val="left" w:pos="230"/>
              </w:tabs>
              <w:spacing w:line="520" w:lineRule="exact"/>
              <w:jc w:val="left"/>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60000</w:t>
            </w:r>
          </w:p>
        </w:tc>
        <w:tc>
          <w:tcPr>
            <w:tcW w:w="1878" w:type="dxa"/>
            <w:vAlign w:val="center"/>
          </w:tcPr>
          <w:p>
            <w:pPr>
              <w:spacing w:line="520" w:lineRule="exact"/>
              <w:jc w:val="center"/>
              <w:rPr>
                <w:rFonts w:hint="eastAsia" w:ascii="仿宋" w:hAnsi="仿宋" w:eastAsia="仿宋" w:cs="仿宋"/>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59" w:type="dxa"/>
            <w:vAlign w:val="center"/>
          </w:tcPr>
          <w:p>
            <w:pPr>
              <w:tabs>
                <w:tab w:val="center" w:pos="381"/>
                <w:tab w:val="left" w:pos="563"/>
              </w:tabs>
              <w:spacing w:line="520" w:lineRule="exact"/>
              <w:ind w:firstLine="320" w:firstLineChars="100"/>
              <w:jc w:val="left"/>
              <w:rPr>
                <w:rFonts w:hint="eastAsia" w:ascii="仿宋" w:hAnsi="仿宋" w:eastAsia="仿宋" w:cs="仿宋"/>
                <w:sz w:val="32"/>
                <w:szCs w:val="32"/>
              </w:rPr>
            </w:pPr>
            <w:r>
              <w:rPr>
                <w:rFonts w:hint="eastAsia" w:ascii="仿宋" w:hAnsi="仿宋" w:eastAsia="仿宋" w:cs="仿宋"/>
                <w:sz w:val="32"/>
                <w:szCs w:val="32"/>
              </w:rPr>
              <w:t>2</w:t>
            </w:r>
          </w:p>
        </w:tc>
        <w:tc>
          <w:tcPr>
            <w:tcW w:w="2870"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年收益</w:t>
            </w:r>
          </w:p>
        </w:tc>
        <w:tc>
          <w:tcPr>
            <w:tcW w:w="1126" w:type="dxa"/>
            <w:vAlign w:val="center"/>
          </w:tcPr>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万元</w:t>
            </w:r>
          </w:p>
        </w:tc>
        <w:tc>
          <w:tcPr>
            <w:tcW w:w="1619" w:type="dxa"/>
            <w:vAlign w:val="center"/>
          </w:tcPr>
          <w:p>
            <w:pPr>
              <w:spacing w:line="52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4800</w:t>
            </w:r>
          </w:p>
        </w:tc>
        <w:tc>
          <w:tcPr>
            <w:tcW w:w="1878" w:type="dxa"/>
            <w:vAlign w:val="center"/>
          </w:tcPr>
          <w:p>
            <w:pPr>
              <w:spacing w:line="520" w:lineRule="exact"/>
              <w:jc w:val="center"/>
              <w:rPr>
                <w:rFonts w:hint="eastAsia" w:ascii="仿宋" w:hAnsi="仿宋" w:eastAsia="仿宋" w:cs="仿宋"/>
                <w:sz w:val="32"/>
                <w:szCs w:val="32"/>
              </w:rPr>
            </w:pPr>
          </w:p>
        </w:tc>
      </w:tr>
    </w:tbl>
    <w:p>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
      <w:pPr>
        <w:pStyle w:val="15"/>
        <w:rPr>
          <w:rFonts w:hint="eastAsia" w:ascii="仿宋" w:hAnsi="仿宋" w:eastAsia="仿宋" w:cs="仿宋"/>
          <w:b/>
          <w:bCs/>
          <w:sz w:val="32"/>
          <w:szCs w:val="32"/>
          <w:lang w:val="en-US" w:eastAsia="zh-CN"/>
        </w:rPr>
      </w:pPr>
    </w:p>
    <w:p>
      <w:pPr>
        <w:jc w:val="both"/>
        <w:rPr>
          <w:rFonts w:hint="eastAsia" w:ascii="仿宋" w:hAnsi="仿宋" w:eastAsia="仿宋" w:cs="仿宋"/>
          <w:sz w:val="32"/>
          <w:szCs w:val="32"/>
        </w:rPr>
      </w:pPr>
    </w:p>
    <w:p>
      <w:pPr>
        <w:jc w:val="both"/>
        <w:rPr>
          <w:rFonts w:hint="eastAsia" w:ascii="仿宋" w:hAnsi="仿宋" w:eastAsia="仿宋" w:cs="仿宋"/>
          <w:sz w:val="32"/>
          <w:szCs w:val="32"/>
        </w:rPr>
      </w:pPr>
    </w:p>
    <w:p>
      <w:pPr>
        <w:jc w:val="both"/>
        <w:rPr>
          <w:rFonts w:hint="eastAsia" w:ascii="仿宋" w:hAnsi="仿宋" w:eastAsia="仿宋" w:cs="仿宋"/>
          <w:sz w:val="32"/>
          <w:szCs w:val="32"/>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rPr>
        <w:t>新型农畜产品物流园区</w:t>
      </w:r>
      <w:r>
        <w:rPr>
          <w:rFonts w:hint="eastAsia" w:ascii="宋体" w:hAnsi="宋体" w:eastAsia="宋体" w:cs="宋体"/>
          <w:b/>
          <w:bCs/>
          <w:sz w:val="44"/>
          <w:szCs w:val="44"/>
          <w:lang w:val="en-US" w:eastAsia="zh-CN"/>
        </w:rPr>
        <w:t>(</w:t>
      </w:r>
      <w:r>
        <w:rPr>
          <w:rFonts w:hint="eastAsia" w:ascii="宋体" w:hAnsi="宋体" w:eastAsia="宋体" w:cs="宋体"/>
          <w:b/>
          <w:bCs/>
          <w:sz w:val="44"/>
          <w:szCs w:val="44"/>
        </w:rPr>
        <w:t>对蒙开</w:t>
      </w:r>
      <w:r>
        <w:rPr>
          <w:rFonts w:hint="eastAsia" w:ascii="宋体" w:hAnsi="宋体" w:eastAsia="宋体" w:cs="宋体"/>
          <w:b/>
          <w:bCs/>
          <w:sz w:val="44"/>
          <w:szCs w:val="44"/>
          <w:lang w:val="en-US" w:eastAsia="zh-CN"/>
        </w:rPr>
        <w:t>放型）项目</w:t>
      </w:r>
    </w:p>
    <w:p>
      <w:pPr>
        <w:pStyle w:val="15"/>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eastAsia" w:ascii="仿宋" w:hAnsi="仿宋" w:eastAsia="仿宋" w:cs="仿宋"/>
          <w:sz w:val="32"/>
          <w:szCs w:val="32"/>
          <w:lang w:eastAsia="zh-CN"/>
        </w:rPr>
        <w:t>巴彦淖尔现代农畜产品物流园区</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以下简称“园区”</w:t>
      </w:r>
      <w:r>
        <w:rPr>
          <w:rFonts w:hint="eastAsia" w:ascii="仿宋" w:hAnsi="仿宋" w:eastAsia="仿宋" w:cs="仿宋"/>
          <w:b/>
          <w:bCs/>
          <w:sz w:val="32"/>
          <w:szCs w:val="32"/>
          <w:lang w:eastAsia="zh-CN"/>
        </w:rPr>
        <w:t>）</w:t>
      </w:r>
      <w:r>
        <w:rPr>
          <w:rFonts w:hint="eastAsia" w:ascii="仿宋" w:hAnsi="仿宋" w:eastAsia="仿宋" w:cs="仿宋"/>
          <w:sz w:val="32"/>
          <w:szCs w:val="32"/>
          <w:lang w:val="en-US" w:eastAsia="zh-CN"/>
        </w:rPr>
        <w:t>由自治区人民政府于2015年1月批准设立，</w:t>
      </w:r>
      <w:r>
        <w:rPr>
          <w:rFonts w:hint="eastAsia" w:ascii="仿宋" w:hAnsi="仿宋" w:eastAsia="仿宋" w:cs="仿宋"/>
          <w:sz w:val="32"/>
          <w:szCs w:val="32"/>
        </w:rPr>
        <w:t>规划建设</w:t>
      </w:r>
      <w:r>
        <w:rPr>
          <w:rFonts w:hint="eastAsia" w:ascii="仿宋" w:hAnsi="仿宋" w:eastAsia="仿宋" w:cs="仿宋"/>
          <w:sz w:val="32"/>
          <w:szCs w:val="32"/>
          <w:lang w:val="en-US" w:eastAsia="zh-CN"/>
        </w:rPr>
        <w:t>集现代农畜产品加工、新能源装备制造、通关、物流、商贸和办公、生活服务等为一体的综合性物流园区。</w:t>
      </w:r>
      <w:r>
        <w:rPr>
          <w:rFonts w:hint="eastAsia" w:ascii="仿宋" w:hAnsi="仿宋" w:eastAsia="仿宋" w:cs="仿宋"/>
          <w:sz w:val="32"/>
          <w:szCs w:val="32"/>
        </w:rPr>
        <w:t>2022年4月19日，国务院批复同意建设内蒙古巴彦淖尔国家农高区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将园区部分区域划入农高区核心区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从而成为巴彦淖尔市承接招商引资项目和经济高质量发展的重要平台。</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按照打造向北开放桥头堡的理念，</w:t>
      </w:r>
      <w:r>
        <w:rPr>
          <w:rFonts w:hint="eastAsia" w:ascii="仿宋" w:hAnsi="仿宋" w:eastAsia="仿宋" w:cs="仿宋"/>
          <w:b w:val="0"/>
          <w:bCs w:val="0"/>
          <w:sz w:val="32"/>
          <w:szCs w:val="32"/>
        </w:rPr>
        <w:t>新型农畜产品物流园区</w:t>
      </w: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rPr>
        <w:t>对蒙开</w:t>
      </w:r>
      <w:r>
        <w:rPr>
          <w:rFonts w:hint="eastAsia" w:ascii="仿宋" w:hAnsi="仿宋" w:eastAsia="仿宋" w:cs="仿宋"/>
          <w:b w:val="0"/>
          <w:bCs w:val="0"/>
          <w:sz w:val="32"/>
          <w:szCs w:val="32"/>
          <w:lang w:val="en-US" w:eastAsia="zh-CN"/>
        </w:rPr>
        <w:t>放型）</w:t>
      </w:r>
      <w:r>
        <w:rPr>
          <w:rFonts w:hint="eastAsia" w:ascii="仿宋" w:hAnsi="仿宋" w:eastAsia="仿宋" w:cs="仿宋"/>
          <w:sz w:val="32"/>
          <w:szCs w:val="32"/>
        </w:rPr>
        <w:t>是</w:t>
      </w:r>
      <w:r>
        <w:rPr>
          <w:rFonts w:hint="eastAsia" w:ascii="仿宋" w:hAnsi="仿宋" w:eastAsia="仿宋" w:cs="仿宋"/>
          <w:sz w:val="32"/>
          <w:szCs w:val="32"/>
          <w:lang w:val="en-US" w:eastAsia="zh-CN"/>
        </w:rPr>
        <w:t>巴彦淖尔市</w:t>
      </w:r>
      <w:r>
        <w:rPr>
          <w:rFonts w:hint="eastAsia" w:ascii="仿宋" w:hAnsi="仿宋" w:eastAsia="仿宋" w:cs="仿宋"/>
          <w:sz w:val="32"/>
          <w:szCs w:val="32"/>
        </w:rPr>
        <w:t>加快建设国家物流枢纽承载城市，构建服务区域、联通全球化的多式联运大通道体系的重要基础设施，对优化铁路货运设施布局，降低市场主体物流成本，增强资源要素吸附能力，促进地方经济发展有着重要意义。</w:t>
      </w:r>
    </w:p>
    <w:p>
      <w:pPr>
        <w:keepNext w:val="0"/>
        <w:keepLines w:val="0"/>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color w:val="auto"/>
          <w:sz w:val="32"/>
          <w:szCs w:val="32"/>
        </w:rPr>
        <w:t>在</w:t>
      </w:r>
      <w:r>
        <w:rPr>
          <w:rFonts w:hint="eastAsia" w:ascii="仿宋" w:hAnsi="仿宋" w:eastAsia="仿宋" w:cs="仿宋"/>
          <w:color w:val="auto"/>
          <w:sz w:val="32"/>
          <w:szCs w:val="32"/>
          <w:lang w:val="en-US" w:eastAsia="zh-CN"/>
        </w:rPr>
        <w:t>临河区</w:t>
      </w:r>
      <w:r>
        <w:rPr>
          <w:rFonts w:hint="eastAsia" w:ascii="仿宋" w:hAnsi="仿宋" w:eastAsia="仿宋" w:cs="仿宋"/>
          <w:color w:val="auto"/>
          <w:sz w:val="32"/>
          <w:szCs w:val="32"/>
        </w:rPr>
        <w:t>投资建设</w:t>
      </w:r>
      <w:r>
        <w:rPr>
          <w:rFonts w:hint="eastAsia" w:ascii="仿宋" w:hAnsi="仿宋" w:eastAsia="仿宋" w:cs="仿宋"/>
          <w:color w:val="auto"/>
          <w:sz w:val="32"/>
          <w:szCs w:val="32"/>
          <w:lang w:val="en-US" w:eastAsia="zh-CN"/>
        </w:rPr>
        <w:t>新型农畜产品物流园区项目</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拟选址地块位于乌拉特大街临河西客站以北、临光路以西地块，占地面积约60亩</w:t>
      </w:r>
      <w:r>
        <w:rPr>
          <w:rFonts w:hint="eastAsia" w:ascii="仿宋" w:hAnsi="仿宋" w:eastAsia="仿宋" w:cs="仿宋"/>
          <w:b/>
          <w:bCs/>
          <w:color w:val="auto"/>
          <w:kern w:val="2"/>
          <w:sz w:val="32"/>
          <w:szCs w:val="32"/>
          <w:u w:val="none"/>
          <w:lang w:val="en-US" w:eastAsia="zh-CN" w:bidi="ar-SA"/>
        </w:rPr>
        <w:t>（最终以自然资源局出具的项目选址意见书中所述四至、面积为准）</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总投资</w:t>
      </w:r>
      <w:r>
        <w:rPr>
          <w:rFonts w:hint="eastAsia" w:ascii="仿宋" w:hAnsi="仿宋" w:eastAsia="仿宋" w:cs="仿宋"/>
          <w:color w:val="auto"/>
          <w:sz w:val="32"/>
          <w:szCs w:val="32"/>
          <w:lang w:val="en-US" w:eastAsia="zh-CN"/>
        </w:rPr>
        <w:t>约1亿元。项目规划建设12000㎡的仓储区及物流仓库、25700㎡的硬化停车区，建设期限1年。</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总投资额：</w:t>
      </w:r>
      <w:r>
        <w:rPr>
          <w:rFonts w:hint="eastAsia" w:ascii="仿宋" w:hAnsi="仿宋" w:eastAsia="仿宋" w:cs="仿宋"/>
          <w:color w:val="auto"/>
          <w:sz w:val="32"/>
          <w:szCs w:val="32"/>
        </w:rPr>
        <w:t>总投资</w:t>
      </w:r>
      <w:r>
        <w:rPr>
          <w:rFonts w:hint="eastAsia" w:ascii="仿宋" w:hAnsi="仿宋" w:eastAsia="仿宋" w:cs="仿宋"/>
          <w:color w:val="auto"/>
          <w:sz w:val="32"/>
          <w:szCs w:val="32"/>
          <w:lang w:val="en-US" w:eastAsia="zh-CN"/>
        </w:rPr>
        <w:t>约1亿元</w:t>
      </w:r>
    </w:p>
    <w:p>
      <w:pPr>
        <w:keepNext w:val="0"/>
        <w:keepLines w:val="0"/>
        <w:pageBreakBefore w:val="0"/>
        <w:widowControl w:val="0"/>
        <w:kinsoku/>
        <w:wordWrap/>
        <w:overflowPunct/>
        <w:topLinePunct w:val="0"/>
        <w:autoSpaceDE/>
        <w:autoSpaceDN/>
        <w:bidi w:val="0"/>
        <w:adjustRightInd/>
        <w:spacing w:line="500" w:lineRule="exact"/>
        <w:jc w:val="both"/>
        <w:textAlignment w:val="auto"/>
        <w:rPr>
          <w:rFonts w:hint="default" w:ascii="仿宋" w:hAnsi="仿宋" w:eastAsia="仿宋" w:cs="仿宋"/>
          <w:bCs/>
          <w:sz w:val="32"/>
          <w:szCs w:val="32"/>
          <w:lang w:val="en-US"/>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可持续促进地方经济发展</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jc w:val="both"/>
        <w:rPr>
          <w:rFonts w:hint="eastAsia" w:ascii="仿宋" w:hAnsi="仿宋" w:eastAsia="仿宋" w:cs="仿宋"/>
          <w:sz w:val="32"/>
          <w:szCs w:val="32"/>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rPr>
      </w:pPr>
      <w:r>
        <w:rPr>
          <w:rFonts w:hint="eastAsia"/>
          <w:b/>
          <w:bCs/>
          <w:sz w:val="44"/>
          <w:szCs w:val="44"/>
          <w:lang w:val="en-US" w:eastAsia="zh-CN"/>
        </w:rPr>
        <w:t>铁路物流基地项目</w:t>
      </w:r>
    </w:p>
    <w:p>
      <w:pPr>
        <w:pStyle w:val="15"/>
        <w:jc w:val="center"/>
        <w:rPr>
          <w:rFonts w:hint="eastAsia"/>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：路物流基地项目是</w:t>
      </w:r>
      <w:r>
        <w:rPr>
          <w:rFonts w:hint="eastAsia" w:ascii="仿宋" w:hAnsi="仿宋" w:eastAsia="仿宋" w:cs="仿宋"/>
          <w:sz w:val="32"/>
          <w:szCs w:val="32"/>
          <w:lang w:val="en-US" w:eastAsia="zh-CN"/>
        </w:rPr>
        <w:t>巴彦淖尔市</w:t>
      </w:r>
      <w:r>
        <w:rPr>
          <w:rFonts w:hint="eastAsia" w:ascii="仿宋" w:hAnsi="仿宋" w:eastAsia="仿宋" w:cs="仿宋"/>
          <w:sz w:val="32"/>
          <w:szCs w:val="32"/>
        </w:rPr>
        <w:t>加快建设国家物流枢纽承载城市，构建服务区域、联通全球化的多式联运大通道体系的重要基础设施，对优化铁路货运设施布局，降低市场主体物流成本，增强资源要素吸附能力，促进地方经济发展有着重要意义。</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left"/>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项目聚焦集装箱业务，构建以智能调度、智能操作、智能交通、智能检测、智能理货、智能闸口、智能监控、智能监管为核心的“8大智能系统”，营造以智慧办公、智能电商、智慧服务、智慧金融为特色的“4大智慧平台”，打造领先全球的智能型物流枢纽。。</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：主要建设集装箱物流板块、国际箱区、掏拼箱库、甩挂联运、共同配送库等增值物流板块，设置综合服务区、延伸服务区等，整合铁路物流资源，打造集内外贸于一体的现代化大型铁路物流综合基地</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总投资额：25</w:t>
      </w:r>
      <w:r>
        <w:rPr>
          <w:rFonts w:hint="eastAsia" w:ascii="仿宋" w:hAnsi="仿宋" w:eastAsia="仿宋" w:cs="仿宋"/>
          <w:b w:val="0"/>
          <w:bCs w:val="0"/>
          <w:sz w:val="32"/>
          <w:szCs w:val="32"/>
          <w:lang w:val="en-US" w:eastAsia="zh-CN"/>
        </w:rPr>
        <w:t>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10亿元，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7.5亿元。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
      <w:pPr>
        <w:keepNext w:val="0"/>
        <w:keepLines w:val="0"/>
        <w:pageBreakBefore w:val="0"/>
        <w:widowControl w:val="0"/>
        <w:kinsoku/>
        <w:wordWrap/>
        <w:overflowPunct/>
        <w:topLinePunct w:val="0"/>
        <w:autoSpaceDE/>
        <w:autoSpaceDN/>
        <w:bidi w:val="0"/>
        <w:adjustRightInd/>
        <w:spacing w:line="440" w:lineRule="exact"/>
        <w:textAlignment w:val="auto"/>
      </w:pPr>
    </w:p>
    <w:p>
      <w:pPr>
        <w:pStyle w:val="15"/>
        <w:keepNext w:val="0"/>
        <w:keepLines w:val="0"/>
        <w:pageBreakBefore w:val="0"/>
        <w:widowControl w:val="0"/>
        <w:kinsoku/>
        <w:wordWrap/>
        <w:overflowPunct/>
        <w:topLinePunct w:val="0"/>
        <w:autoSpaceDE/>
        <w:autoSpaceDN/>
        <w:bidi w:val="0"/>
        <w:adjustRightInd/>
        <w:spacing w:line="440" w:lineRule="exact"/>
        <w:textAlignment w:val="auto"/>
        <w:rPr>
          <w:rFonts w:hint="eastAsia" w:ascii="仿宋" w:hAnsi="仿宋" w:eastAsia="仿宋" w:cs="仿宋"/>
          <w:b/>
          <w:bCs/>
          <w:sz w:val="32"/>
          <w:szCs w:val="32"/>
          <w:lang w:val="en-US" w:eastAsia="zh-CN"/>
        </w:rPr>
      </w:pPr>
    </w:p>
    <w:p>
      <w:pPr>
        <w:jc w:val="center"/>
        <w:rPr>
          <w:rFonts w:hint="eastAsia"/>
          <w:b/>
          <w:bCs/>
          <w:sz w:val="44"/>
          <w:szCs w:val="44"/>
        </w:rPr>
      </w:pPr>
      <w:r>
        <w:rPr>
          <w:rFonts w:hint="eastAsia"/>
          <w:b/>
          <w:bCs/>
          <w:sz w:val="44"/>
          <w:szCs w:val="44"/>
          <w:lang w:val="en-US" w:eastAsia="zh-CN"/>
        </w:rPr>
        <w:t>酸枣种植加工光伏一体化</w:t>
      </w:r>
      <w:r>
        <w:rPr>
          <w:rFonts w:hint="eastAsia"/>
          <w:b/>
          <w:bCs/>
          <w:sz w:val="44"/>
          <w:szCs w:val="44"/>
        </w:rPr>
        <w:t>项目</w:t>
      </w:r>
    </w:p>
    <w:p>
      <w:pPr>
        <w:jc w:val="both"/>
        <w:rPr>
          <w:rFonts w:hint="eastAsia" w:ascii="Times New Roman" w:hAnsi="Times New Roman"/>
          <w:b/>
          <w:bCs/>
          <w:kern w:val="44"/>
          <w:sz w:val="44"/>
          <w:szCs w:val="44"/>
        </w:rPr>
      </w:pP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sz w:val="32"/>
          <w:szCs w:val="32"/>
          <w:lang w:val="en-US"/>
        </w:rPr>
      </w:pPr>
      <w:r>
        <w:rPr>
          <w:rFonts w:hint="eastAsia" w:ascii="仿宋" w:hAnsi="仿宋" w:eastAsia="仿宋" w:cs="仿宋"/>
          <w:b/>
          <w:bCs/>
          <w:sz w:val="32"/>
          <w:szCs w:val="32"/>
        </w:rPr>
        <w:t>项目简介</w:t>
      </w:r>
      <w:r>
        <w:rPr>
          <w:rFonts w:hint="eastAsia" w:ascii="仿宋" w:hAnsi="仿宋" w:eastAsia="仿宋" w:cs="仿宋"/>
          <w:sz w:val="32"/>
          <w:szCs w:val="32"/>
        </w:rPr>
        <w:t>：光伏农业是一种新形式的土地综合利用方式，是现代化农业与清洁能源紧密结合的产物，可以推动绿色农业生产，实现科技高效的循环生态农业。农光互补利用太阳能光伏发电无污染零排放的特点，它既具有发电能力，又能为农作物、食用菌及畜牧养殖提供适宜的生长环境，以此创造更好的经济效益和社会效益</w:t>
      </w:r>
      <w:r>
        <w:rPr>
          <w:rFonts w:hint="eastAsia" w:ascii="仿宋" w:hAnsi="仿宋" w:eastAsia="仿宋" w:cs="仿宋"/>
          <w:sz w:val="32"/>
          <w:szCs w:val="32"/>
          <w:lang w:val="en-US"/>
        </w:rPr>
        <w:t>。</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sz w:val="32"/>
          <w:szCs w:val="32"/>
          <w:lang w:val="en-US" w:eastAsia="zh-CN"/>
        </w:rPr>
        <w:t>拟利用800余亩土地，建造光伏酸枣种植大棚，以太阳能电池组件（薄膜太阳能电池板）为主要覆盖材料，灵活调节大棚内种植温度，采用固定式光伏发电方正布置方式。预计年光伏发电量3000万kwh，酸枣产量达到8000-10000斤。</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总投资额：4</w:t>
      </w:r>
      <w:r>
        <w:rPr>
          <w:rFonts w:hint="eastAsia" w:ascii="仿宋" w:hAnsi="仿宋" w:eastAsia="仿宋" w:cs="仿宋"/>
          <w:b w:val="0"/>
          <w:bCs w:val="0"/>
          <w:sz w:val="32"/>
          <w:szCs w:val="32"/>
          <w:lang w:val="en-US" w:eastAsia="zh-CN"/>
        </w:rPr>
        <w:t>亿元</w:t>
      </w:r>
    </w:p>
    <w:p>
      <w:pPr>
        <w:keepNext w:val="0"/>
        <w:keepLines w:val="0"/>
        <w:pageBreakBefore w:val="0"/>
        <w:widowControl w:val="0"/>
        <w:kinsoku/>
        <w:wordWrap/>
        <w:overflowPunct/>
        <w:topLinePunct w:val="0"/>
        <w:autoSpaceDE/>
        <w:autoSpaceDN/>
        <w:bidi w:val="0"/>
        <w:adjustRightInd/>
        <w:spacing w:line="500" w:lineRule="exact"/>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sz w:val="32"/>
          <w:szCs w:val="32"/>
        </w:rPr>
        <w:t>年均利润总额</w:t>
      </w:r>
      <w:r>
        <w:rPr>
          <w:rFonts w:hint="eastAsia" w:ascii="仿宋" w:hAnsi="仿宋" w:eastAsia="仿宋" w:cs="仿宋"/>
          <w:sz w:val="32"/>
          <w:szCs w:val="32"/>
          <w:lang w:val="en-US" w:eastAsia="zh-CN"/>
        </w:rPr>
        <w:t>1亿元，</w:t>
      </w:r>
      <w:r>
        <w:rPr>
          <w:rFonts w:hint="eastAsia" w:ascii="仿宋" w:hAnsi="仿宋" w:eastAsia="仿宋" w:cs="仿宋"/>
          <w:sz w:val="32"/>
          <w:szCs w:val="32"/>
        </w:rPr>
        <w:t>年均税后利润</w:t>
      </w:r>
      <w:r>
        <w:rPr>
          <w:rFonts w:hint="eastAsia" w:ascii="仿宋" w:hAnsi="仿宋" w:eastAsia="仿宋" w:cs="仿宋"/>
          <w:sz w:val="32"/>
          <w:szCs w:val="32"/>
          <w:lang w:val="en-US" w:eastAsia="zh-CN"/>
        </w:rPr>
        <w:t>0.75亿元。</w:t>
      </w:r>
    </w:p>
    <w:p>
      <w:pPr>
        <w:keepNext w:val="0"/>
        <w:keepLines w:val="0"/>
        <w:pageBreakBefore w:val="0"/>
        <w:widowControl w:val="0"/>
        <w:kinsoku/>
        <w:wordWrap/>
        <w:overflowPunct/>
        <w:topLinePunct w:val="0"/>
        <w:autoSpaceDE/>
        <w:autoSpaceDN/>
        <w:bidi w:val="0"/>
        <w:adjustRightInd/>
        <w:spacing w:line="5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
      <w:pPr>
        <w:jc w:val="center"/>
        <w:rPr>
          <w:rFonts w:hint="eastAsia"/>
          <w:b/>
          <w:bCs/>
          <w:sz w:val="44"/>
          <w:szCs w:val="44"/>
          <w:lang w:val="en-US" w:eastAsia="zh-CN"/>
        </w:rPr>
      </w:pPr>
    </w:p>
    <w:p>
      <w:pPr>
        <w:jc w:val="center"/>
        <w:rPr>
          <w:rFonts w:hint="eastAsia"/>
          <w:b/>
          <w:bCs/>
          <w:sz w:val="44"/>
          <w:szCs w:val="44"/>
          <w:lang w:val="en-US" w:eastAsia="zh-CN"/>
        </w:rPr>
      </w:pPr>
    </w:p>
    <w:p>
      <w:pPr>
        <w:jc w:val="center"/>
        <w:rPr>
          <w:rFonts w:hint="eastAsia"/>
          <w:b/>
          <w:bCs/>
          <w:sz w:val="44"/>
          <w:szCs w:val="44"/>
          <w:lang w:val="en-US" w:eastAsia="zh-CN"/>
        </w:rPr>
      </w:pPr>
    </w:p>
    <w:p>
      <w:pPr>
        <w:pStyle w:val="15"/>
        <w:jc w:val="center"/>
        <w:rPr>
          <w:rFonts w:hint="eastAsia" w:ascii="宋体" w:hAnsi="宋体" w:eastAsia="宋体" w:cs="宋体"/>
          <w:b/>
          <w:bCs/>
          <w:kern w:val="44"/>
          <w:sz w:val="44"/>
          <w:szCs w:val="44"/>
        </w:rPr>
      </w:pPr>
      <w:r>
        <w:rPr>
          <w:rFonts w:hint="eastAsia" w:ascii="宋体" w:hAnsi="宋体" w:eastAsia="宋体" w:cs="宋体"/>
          <w:color w:val="auto"/>
          <w:sz w:val="44"/>
          <w:szCs w:val="44"/>
        </w:rPr>
        <w:t>智慧农牧业</w:t>
      </w:r>
      <w:r>
        <w:rPr>
          <w:rFonts w:hint="eastAsia" w:ascii="宋体" w:hAnsi="宋体" w:eastAsia="宋体" w:cs="宋体"/>
          <w:b/>
          <w:bCs/>
          <w:kern w:val="44"/>
          <w:sz w:val="44"/>
          <w:szCs w:val="44"/>
        </w:rPr>
        <w:t>项目</w:t>
      </w:r>
    </w:p>
    <w:p>
      <w:pPr>
        <w:jc w:val="center"/>
        <w:rPr>
          <w:rFonts w:hint="eastAsia" w:ascii="Times New Roman" w:hAnsi="Times New Roman"/>
          <w:b/>
          <w:bCs/>
          <w:kern w:val="44"/>
          <w:sz w:val="44"/>
          <w:szCs w:val="44"/>
        </w:rPr>
      </w:pPr>
    </w:p>
    <w:p>
      <w:pPr>
        <w:keepNext w:val="0"/>
        <w:keepLines w:val="0"/>
        <w:pageBreakBefore w:val="0"/>
        <w:widowControl w:val="0"/>
        <w:kinsoku/>
        <w:wordWrap/>
        <w:overflowPunct/>
        <w:topLinePunct/>
        <w:autoSpaceDE/>
        <w:autoSpaceDN/>
        <w:bidi w:val="0"/>
        <w:adjustRightInd/>
        <w:snapToGrid/>
        <w:spacing w:line="240" w:lineRule="auto"/>
        <w:ind w:firstLine="0"/>
        <w:textAlignment w:val="auto"/>
        <w:rPr>
          <w:rFonts w:hint="eastAsia" w:ascii="仿宋" w:hAnsi="仿宋" w:eastAsia="仿宋" w:cs="仿宋"/>
          <w:color w:val="auto"/>
          <w:sz w:val="32"/>
          <w:szCs w:val="32"/>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eastAsia" w:ascii="仿宋" w:hAnsi="仿宋" w:eastAsia="仿宋" w:cs="仿宋"/>
          <w:color w:val="auto"/>
          <w:sz w:val="32"/>
          <w:szCs w:val="32"/>
        </w:rPr>
        <w:t>农业农村大数据已成为现代农业新型资源要素。当前，大数据正快速发展为发现新知识、创造新价值、提升新能力的新一代信息技术和服务业态，已成为国家基础性战略资源，正成为推动我国经济转型发展的新动力、重塑国家竞争优势的新机遇和提升政府治理能力的新途径。发展农业农村大数据是破解农业发展难题的迫切需要。我国已进入传统农业向现代农业加快转变的关键阶段。突破资源和环境两道“紧箍咒”制约，需要运用大数据提高农业生产化、智能化水平，推进农业资源利用方式转变。破解成本“地板”和价格“天花板”双重挤压的制约，需要运用大数据推进农产品供给侧与需求侧的结构改革，提高农业全要素的利用效率。</w:t>
      </w:r>
    </w:p>
    <w:p>
      <w:pPr>
        <w:pageBreakBefore w:val="0"/>
        <w:wordWrap/>
        <w:topLinePunct/>
        <w:bidi w:val="0"/>
        <w:spacing w:line="520" w:lineRule="exact"/>
        <w:ind w:firstLine="560"/>
        <w:rPr>
          <w:rFonts w:hint="eastAsia" w:ascii="仿宋" w:hAnsi="仿宋" w:eastAsia="仿宋" w:cs="仿宋"/>
          <w:color w:val="auto"/>
          <w:sz w:val="32"/>
          <w:szCs w:val="32"/>
          <w:lang w:val="en-US"/>
        </w:rPr>
      </w:pPr>
      <w:r>
        <w:rPr>
          <w:rFonts w:hint="eastAsia" w:ascii="仿宋" w:hAnsi="仿宋" w:eastAsia="仿宋" w:cs="仿宋"/>
          <w:color w:val="auto"/>
          <w:sz w:val="32"/>
          <w:szCs w:val="32"/>
        </w:rPr>
        <w:t>巴彦淖尔市具有建设云计算存储大数据中心的良好条件：巴彦淖尔市位于蒙西电网，用于云计算和大数据的电价0.26元/kwh</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地处河套地区，位于北纬40°-42°之间的世界农作物种植黄金带上，昼夜温差大、光照资源丰富，优越的地理位置使得这里的农牧业十分发达，农牧产品种类丰富、品质优良，形成了独具特色的小麦、葵花、蜜瓜、番茄、枸杞、肉羊、有机奶等名优产品，农畜产品出口量已位居内蒙古自治区之首。因此，建设智慧农牧业云计算平台具有很大的优势。</w:t>
      </w:r>
    </w:p>
    <w:p>
      <w:pPr>
        <w:pageBreakBefore w:val="0"/>
        <w:wordWrap/>
        <w:topLinePunct/>
        <w:bidi w:val="0"/>
        <w:adjustRightInd w:val="0"/>
        <w:snapToGrid w:val="0"/>
        <w:spacing w:line="520" w:lineRule="exact"/>
        <w:rPr>
          <w:rFonts w:hint="eastAsia" w:ascii="仿宋" w:hAnsi="仿宋" w:eastAsia="仿宋" w:cs="仿宋"/>
          <w:b/>
          <w:bCs/>
          <w:sz w:val="32"/>
          <w:szCs w:val="32"/>
          <w:lang w:val="en-US" w:eastAsia="zh-CN"/>
        </w:rPr>
      </w:pPr>
      <w:r>
        <w:rPr>
          <w:rFonts w:hint="eastAsia" w:ascii="仿宋" w:hAnsi="仿宋" w:eastAsia="仿宋" w:cs="仿宋"/>
          <w:b/>
          <w:bCs/>
          <w:sz w:val="32"/>
          <w:szCs w:val="32"/>
        </w:rPr>
        <w:t>建设内容</w:t>
      </w:r>
      <w:r>
        <w:rPr>
          <w:rFonts w:hint="eastAsia" w:ascii="仿宋" w:hAnsi="仿宋" w:eastAsia="仿宋" w:cs="仿宋"/>
          <w:sz w:val="32"/>
          <w:szCs w:val="32"/>
        </w:rPr>
        <w:t>：</w:t>
      </w:r>
      <w:r>
        <w:rPr>
          <w:rFonts w:hint="eastAsia" w:ascii="仿宋" w:hAnsi="仿宋" w:eastAsia="仿宋" w:cs="仿宋"/>
          <w:bCs/>
          <w:color w:val="auto"/>
          <w:sz w:val="32"/>
          <w:szCs w:val="32"/>
        </w:rPr>
        <w:t>为农牧业各类数据服务企业存储数据，提供农牧业大数据服务。</w:t>
      </w:r>
      <w:r>
        <w:rPr>
          <w:rFonts w:hint="eastAsia" w:ascii="仿宋" w:hAnsi="仿宋" w:eastAsia="仿宋" w:cs="仿宋"/>
          <w:bCs/>
          <w:color w:val="auto"/>
          <w:sz w:val="32"/>
          <w:szCs w:val="32"/>
          <w:lang w:eastAsia="zh-CN"/>
        </w:rPr>
        <w:t>（</w:t>
      </w:r>
      <w:r>
        <w:rPr>
          <w:rFonts w:hint="eastAsia" w:ascii="仿宋" w:hAnsi="仿宋" w:eastAsia="仿宋" w:cs="仿宋"/>
          <w:color w:val="auto"/>
          <w:sz w:val="32"/>
          <w:szCs w:val="32"/>
        </w:rPr>
        <w:t>平台利用新兴互联网、云计算、物联网和人工智能等技术，采用“1+8+N”模式，即“1个平台、8大板块、N个应用系统”，</w:t>
      </w:r>
      <w:r>
        <w:rPr>
          <w:rFonts w:hint="eastAsia" w:ascii="仿宋" w:hAnsi="仿宋" w:eastAsia="仿宋" w:cs="仿宋"/>
          <w:bCs/>
          <w:color w:val="auto"/>
          <w:sz w:val="32"/>
          <w:szCs w:val="32"/>
          <w:lang w:eastAsia="zh-CN"/>
        </w:rPr>
        <w:t>）</w:t>
      </w:r>
    </w:p>
    <w:p>
      <w:pPr>
        <w:keepNext w:val="0"/>
        <w:keepLines w:val="0"/>
        <w:pageBreakBefore w:val="0"/>
        <w:widowControl w:val="0"/>
        <w:kinsoku/>
        <w:wordWrap/>
        <w:overflowPunct/>
        <w:topLinePunct w:val="0"/>
        <w:autoSpaceDE/>
        <w:autoSpaceDN/>
        <w:bidi w:val="0"/>
        <w:adjustRightInd/>
        <w:spacing w:line="480" w:lineRule="exact"/>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投资规模</w:t>
      </w:r>
      <w:r>
        <w:rPr>
          <w:rFonts w:hint="eastAsia" w:ascii="仿宋" w:hAnsi="仿宋" w:eastAsia="仿宋" w:cs="仿宋"/>
          <w:sz w:val="32"/>
          <w:szCs w:val="32"/>
        </w:rPr>
        <w:t>：</w:t>
      </w:r>
      <w:r>
        <w:rPr>
          <w:rFonts w:hint="eastAsia" w:ascii="仿宋" w:hAnsi="仿宋" w:eastAsia="仿宋" w:cs="仿宋"/>
          <w:sz w:val="32"/>
          <w:szCs w:val="32"/>
          <w:lang w:val="en-US" w:eastAsia="zh-CN"/>
        </w:rPr>
        <w:t>总投资0.5亿元</w:t>
      </w:r>
    </w:p>
    <w:p>
      <w:pPr>
        <w:pageBreakBefore w:val="0"/>
        <w:wordWrap/>
        <w:topLinePunct/>
        <w:bidi w:val="0"/>
        <w:spacing w:line="520" w:lineRule="exact"/>
        <w:rPr>
          <w:rFonts w:hint="eastAsia" w:ascii="仿宋" w:hAnsi="仿宋" w:eastAsia="仿宋" w:cs="仿宋"/>
          <w:b/>
          <w:bCs/>
          <w:sz w:val="32"/>
          <w:szCs w:val="32"/>
          <w:lang w:val="en-US" w:eastAsia="zh-CN"/>
        </w:rPr>
      </w:pPr>
      <w:r>
        <w:rPr>
          <w:rFonts w:hint="eastAsia" w:ascii="仿宋" w:hAnsi="仿宋" w:eastAsia="仿宋" w:cs="仿宋"/>
          <w:b/>
          <w:bCs/>
          <w:sz w:val="32"/>
          <w:szCs w:val="32"/>
        </w:rPr>
        <w:t>效益分析</w:t>
      </w:r>
      <w:r>
        <w:rPr>
          <w:rFonts w:hint="eastAsia" w:ascii="仿宋" w:hAnsi="仿宋" w:eastAsia="仿宋" w:cs="仿宋"/>
          <w:b/>
          <w:bCs/>
          <w:sz w:val="32"/>
          <w:szCs w:val="32"/>
          <w:lang w:eastAsia="zh-CN"/>
        </w:rPr>
        <w:t>：</w:t>
      </w:r>
      <w:r>
        <w:rPr>
          <w:rFonts w:hint="eastAsia" w:ascii="仿宋" w:hAnsi="仿宋" w:eastAsia="仿宋" w:cs="仿宋"/>
          <w:color w:val="auto"/>
          <w:sz w:val="32"/>
          <w:szCs w:val="32"/>
        </w:rPr>
        <w:t>推进政府治理能力现代化，需要运用大数据增强农业农村经济运行信息及时性和准确性，加快实现基于数据的科学决策。</w:t>
      </w:r>
    </w:p>
    <w:p>
      <w:pPr>
        <w:keepNext w:val="0"/>
        <w:keepLines w:val="0"/>
        <w:pageBreakBefore w:val="0"/>
        <w:widowControl w:val="0"/>
        <w:kinsoku/>
        <w:wordWrap/>
        <w:overflowPunct/>
        <w:topLinePunct w:val="0"/>
        <w:autoSpaceDE/>
        <w:autoSpaceDN/>
        <w:bidi w:val="0"/>
        <w:adjustRightInd/>
        <w:spacing w:line="48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48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numPr>
          <w:ilvl w:val="0"/>
          <w:numId w:val="0"/>
        </w:numPr>
        <w:jc w:val="center"/>
        <w:rPr>
          <w:rFonts w:hint="eastAsia" w:ascii="仿宋" w:hAnsi="仿宋" w:eastAsia="仿宋" w:cs="仿宋"/>
          <w:b w:val="0"/>
          <w:bCs w:val="0"/>
          <w:sz w:val="32"/>
          <w:szCs w:val="32"/>
          <w:lang w:val="en-US" w:eastAsia="zh-CN"/>
        </w:rPr>
      </w:pPr>
      <w:r>
        <w:rPr>
          <w:rFonts w:hint="eastAsia" w:ascii="宋体" w:hAnsi="宋体" w:eastAsia="宋体" w:cs="宋体"/>
          <w:b/>
          <w:color w:val="auto"/>
          <w:kern w:val="2"/>
          <w:sz w:val="44"/>
          <w:szCs w:val="44"/>
          <w:lang w:val="en-US" w:eastAsia="zh-CN" w:bidi="ar-SA"/>
        </w:rPr>
        <w:t>中药材种植项目</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560" w:lineRule="exac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default" w:ascii="仿宋" w:hAnsi="仿宋" w:eastAsia="仿宋" w:cs="仿宋"/>
          <w:b w:val="0"/>
          <w:bCs w:val="0"/>
          <w:sz w:val="32"/>
          <w:szCs w:val="32"/>
          <w:lang w:val="en-US" w:eastAsia="zh-CN"/>
        </w:rPr>
        <w:t>中药农业是中药产业的第一产业和基础，具体是指利用药用动物植物等生物生长发育规律，通过人工培育获得中药材产品的生产活动。中药是中华民族对自然资源创造性开发与利用的结果，我国自古就有常用中药材由一地或多地生产供应全国使用形成中药材主产区的情况，我国的中药材种植面积和产量均居世界首位。2014年以来种植面积稳定在3990万亩以上的较高水平，并且处于平稳上升阶段；</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建设内容:</w:t>
      </w:r>
      <w:r>
        <w:rPr>
          <w:rFonts w:hint="eastAsia" w:ascii="仿宋" w:hAnsi="仿宋" w:eastAsia="仿宋" w:cs="仿宋"/>
          <w:b w:val="0"/>
          <w:bCs w:val="0"/>
          <w:sz w:val="32"/>
          <w:szCs w:val="32"/>
          <w:lang w:val="en-US" w:eastAsia="zh-CN"/>
        </w:rPr>
        <w:t>中药材种植基地</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投资额度:</w:t>
      </w:r>
      <w:r>
        <w:rPr>
          <w:rFonts w:hint="eastAsia" w:ascii="仿宋" w:hAnsi="仿宋" w:eastAsia="仿宋" w:cs="仿宋"/>
          <w:b w:val="0"/>
          <w:bCs w:val="0"/>
          <w:sz w:val="32"/>
          <w:szCs w:val="32"/>
          <w:lang w:val="en-US" w:eastAsia="zh-CN"/>
        </w:rPr>
        <w:t>项目预算总投资5000万元，资金来源为企业自筹。</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达产后实现年均利润总额3000万元，年均税后利润2400万元。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numPr>
          <w:ilvl w:val="0"/>
          <w:numId w:val="0"/>
        </w:numPr>
        <w:ind w:firstLine="640" w:firstLineChars="200"/>
        <w:rPr>
          <w:rFonts w:hint="eastAsia" w:ascii="仿宋" w:hAnsi="仿宋" w:eastAsia="仿宋" w:cs="仿宋"/>
          <w:b w:val="0"/>
          <w:bCs w:val="0"/>
          <w:sz w:val="32"/>
          <w:szCs w:val="32"/>
          <w:lang w:val="en-US" w:eastAsia="zh-CN"/>
        </w:rPr>
      </w:pPr>
    </w:p>
    <w:p>
      <w:pPr>
        <w:numPr>
          <w:ilvl w:val="0"/>
          <w:numId w:val="0"/>
        </w:numPr>
        <w:ind w:firstLine="640" w:firstLineChars="200"/>
        <w:rPr>
          <w:rFonts w:hint="eastAsia" w:ascii="仿宋" w:hAnsi="仿宋" w:eastAsia="仿宋" w:cs="仿宋"/>
          <w:b w:val="0"/>
          <w:bCs w:val="0"/>
          <w:sz w:val="32"/>
          <w:szCs w:val="32"/>
          <w:lang w:val="en-US" w:eastAsia="zh-CN"/>
        </w:rPr>
      </w:pPr>
    </w:p>
    <w:p>
      <w:pPr>
        <w:numPr>
          <w:ilvl w:val="0"/>
          <w:numId w:val="0"/>
        </w:numPr>
        <w:ind w:firstLine="640" w:firstLineChars="200"/>
        <w:rPr>
          <w:rFonts w:hint="eastAsia" w:ascii="仿宋" w:hAnsi="仿宋" w:eastAsia="仿宋" w:cs="仿宋"/>
          <w:b w:val="0"/>
          <w:bCs w:val="0"/>
          <w:sz w:val="32"/>
          <w:szCs w:val="32"/>
          <w:lang w:val="en-US" w:eastAsia="zh-CN"/>
        </w:rPr>
      </w:pPr>
    </w:p>
    <w:p>
      <w:pPr>
        <w:numPr>
          <w:ilvl w:val="0"/>
          <w:numId w:val="0"/>
        </w:numPr>
        <w:ind w:firstLine="640" w:firstLineChars="200"/>
        <w:rPr>
          <w:rFonts w:hint="eastAsia" w:ascii="仿宋" w:hAnsi="仿宋" w:eastAsia="仿宋" w:cs="仿宋"/>
          <w:b w:val="0"/>
          <w:bCs w:val="0"/>
          <w:sz w:val="32"/>
          <w:szCs w:val="32"/>
          <w:lang w:val="en-US" w:eastAsia="zh-CN"/>
        </w:rPr>
      </w:pPr>
    </w:p>
    <w:p>
      <w:pPr>
        <w:numPr>
          <w:ilvl w:val="0"/>
          <w:numId w:val="0"/>
        </w:numPr>
        <w:jc w:val="center"/>
        <w:rPr>
          <w:rFonts w:hint="eastAsia" w:ascii="仿宋" w:hAnsi="仿宋" w:eastAsia="仿宋" w:cs="仿宋"/>
          <w:b w:val="0"/>
          <w:bCs w:val="0"/>
          <w:sz w:val="32"/>
          <w:szCs w:val="32"/>
          <w:lang w:val="en-US" w:eastAsia="zh-CN"/>
        </w:rPr>
      </w:pPr>
      <w:r>
        <w:rPr>
          <w:rFonts w:hint="eastAsia" w:ascii="宋体" w:hAnsi="宋体" w:eastAsia="宋体" w:cs="宋体"/>
          <w:b/>
          <w:color w:val="auto"/>
          <w:kern w:val="2"/>
          <w:sz w:val="44"/>
          <w:szCs w:val="44"/>
          <w:lang w:val="en-US" w:eastAsia="zh-CN" w:bidi="ar-SA"/>
        </w:rPr>
        <w:t>中药保健品项目</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60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项目简介</w:t>
      </w:r>
      <w:r>
        <w:rPr>
          <w:rFonts w:hint="eastAsia" w:ascii="仿宋" w:hAnsi="仿宋" w:eastAsia="仿宋" w:cs="仿宋"/>
          <w:sz w:val="32"/>
          <w:szCs w:val="32"/>
        </w:rPr>
        <w:t>：</w:t>
      </w:r>
      <w:r>
        <w:rPr>
          <w:rFonts w:hint="eastAsia" w:ascii="仿宋" w:hAnsi="仿宋" w:eastAsia="仿宋" w:cs="仿宋"/>
          <w:b w:val="0"/>
          <w:bCs w:val="0"/>
          <w:sz w:val="32"/>
          <w:szCs w:val="32"/>
          <w:lang w:val="en-US" w:eastAsia="zh-CN"/>
        </w:rPr>
        <w:t>当前我国老龄化程度较深，且国内老龄人口日益增多，这促使国内中药保健养生需求增大。根据国际通行标准，65岁以上人口占总人口的比重达到7%作为国家或地区进入老龄化社会的标准，目前我国的这一比例达到14.2%，可见我国老龄化程度较深。我国老龄人口数量不断增多，利好中药保健品行业的需求市场扩大。</w:t>
      </w:r>
    </w:p>
    <w:p>
      <w:pPr>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截至2020年底，全国中医医院达到5482家，每千人口公立中医医院床位数达到0.68张，每千人口卫生机构中医类别执业(助理)医师数达到0.48人，99%的社区卫生服务中心、98%的乡镇卫生院、90.6%的社区卫生服务站、74.5%的村卫生室能够提供中医药服务。</w:t>
      </w:r>
    </w:p>
    <w:p>
      <w:pPr>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2020年，在疫情影响下，人们对于健康和养生的愈发重视，使得药店的一部分中药保健品不仅销量倍增，价格也有了不同程度的上涨。预计到2027年中国保健品市场规模将达到4850.5亿元，其中，中医营养保健品市场规模将达到1825.7亿。</w:t>
      </w:r>
    </w:p>
    <w:p>
      <w:pPr>
        <w:keepNext w:val="0"/>
        <w:keepLines w:val="0"/>
        <w:pageBreakBefore w:val="0"/>
        <w:widowControl w:val="0"/>
        <w:numPr>
          <w:ilvl w:val="0"/>
          <w:numId w:val="0"/>
        </w:numPr>
        <w:kinsoku/>
        <w:wordWrap/>
        <w:overflowPunct/>
        <w:topLinePunct w:val="0"/>
        <w:autoSpaceDE/>
        <w:autoSpaceDN/>
        <w:bidi w:val="0"/>
        <w:adjustRightInd/>
        <w:spacing w:line="60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建设内容:中草药加工、中药保健品项目</w:t>
      </w:r>
    </w:p>
    <w:p>
      <w:pPr>
        <w:keepNext w:val="0"/>
        <w:keepLines w:val="0"/>
        <w:pageBreakBefore w:val="0"/>
        <w:widowControl w:val="0"/>
        <w:numPr>
          <w:ilvl w:val="0"/>
          <w:numId w:val="0"/>
        </w:numPr>
        <w:kinsoku/>
        <w:wordWrap/>
        <w:overflowPunct/>
        <w:topLinePunct w:val="0"/>
        <w:autoSpaceDE/>
        <w:autoSpaceDN/>
        <w:bidi w:val="0"/>
        <w:adjustRightInd/>
        <w:spacing w:line="60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投资额度:项目预算总投资4000万元，资金来源为企业自筹。</w:t>
      </w:r>
    </w:p>
    <w:p>
      <w:pPr>
        <w:keepNext w:val="0"/>
        <w:keepLines w:val="0"/>
        <w:pageBreakBefore w:val="0"/>
        <w:widowControl w:val="0"/>
        <w:numPr>
          <w:ilvl w:val="0"/>
          <w:numId w:val="0"/>
        </w:numPr>
        <w:kinsoku/>
        <w:wordWrap/>
        <w:overflowPunct/>
        <w:topLinePunct w:val="0"/>
        <w:autoSpaceDE/>
        <w:autoSpaceDN/>
        <w:bidi w:val="0"/>
        <w:adjustRightInd/>
        <w:spacing w:line="60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效益分析:达产后实现年均利润总额2000万元，年均税后利润1600万元。</w:t>
      </w: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spacing w:line="240" w:lineRule="auto"/>
        <w:jc w:val="center"/>
        <w:rPr>
          <w:rFonts w:hint="eastAsia" w:asciiTheme="majorEastAsia" w:hAnsiTheme="majorEastAsia" w:eastAsiaTheme="majorEastAsia" w:cstheme="majorEastAsia"/>
          <w:sz w:val="52"/>
          <w:szCs w:val="52"/>
          <w:lang w:eastAsia="zh-CN"/>
        </w:rPr>
      </w:pPr>
      <w:r>
        <w:rPr>
          <w:rFonts w:hint="eastAsia" w:ascii="宋体" w:hAnsi="宋体" w:eastAsia="宋体" w:cs="宋体"/>
          <w:b/>
          <w:color w:val="auto"/>
          <w:kern w:val="2"/>
          <w:sz w:val="44"/>
          <w:szCs w:val="44"/>
          <w:lang w:val="en-US" w:eastAsia="zh-CN" w:bidi="ar-SA"/>
        </w:rPr>
        <w:t>预制菜生产加工项目</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560" w:lineRule="exact"/>
        <w:textAlignment w:val="auto"/>
        <w:rPr>
          <w:rFonts w:hint="default" w:ascii="仿宋" w:hAnsi="仿宋" w:eastAsia="仿宋"/>
          <w:sz w:val="32"/>
          <w:szCs w:val="32"/>
          <w:lang w:val="en-US" w:eastAsia="zh-CN"/>
        </w:rPr>
      </w:pPr>
      <w:r>
        <w:rPr>
          <w:rFonts w:hint="eastAsia" w:ascii="仿宋" w:hAnsi="仿宋" w:eastAsia="仿宋"/>
          <w:b/>
          <w:bCs/>
          <w:sz w:val="32"/>
          <w:szCs w:val="32"/>
          <w:lang w:eastAsia="zh-CN"/>
        </w:rPr>
        <w:t>项目</w:t>
      </w:r>
      <w:r>
        <w:rPr>
          <w:rFonts w:hint="eastAsia" w:ascii="仿宋" w:hAnsi="仿宋" w:eastAsia="仿宋"/>
          <w:b/>
          <w:bCs/>
          <w:sz w:val="32"/>
          <w:szCs w:val="32"/>
          <w:lang w:val="en-US" w:eastAsia="zh-CN"/>
        </w:rPr>
        <w:t>简</w:t>
      </w:r>
      <w:r>
        <w:rPr>
          <w:rFonts w:hint="eastAsia" w:ascii="仿宋" w:hAnsi="仿宋" w:eastAsia="仿宋"/>
          <w:b/>
          <w:bCs/>
          <w:sz w:val="32"/>
          <w:szCs w:val="32"/>
          <w:lang w:eastAsia="zh-CN"/>
        </w:rPr>
        <w:t>介：</w:t>
      </w:r>
      <w:r>
        <w:rPr>
          <w:rFonts w:hint="eastAsia" w:ascii="仿宋" w:hAnsi="仿宋" w:eastAsia="仿宋" w:cs="仿宋"/>
          <w:b w:val="0"/>
          <w:bCs w:val="0"/>
          <w:sz w:val="32"/>
          <w:szCs w:val="32"/>
          <w:lang w:val="en-US" w:eastAsia="zh-CN"/>
        </w:rPr>
        <w:t>预制菜市场发展迅猛，“一人食经济”“懒人经济”“宅经济”也催化着这一市场快速发展。目前，预制菜最大的需求为餐饮企业，我国预制菜行业的销售渠道85%以上面向商户端，集中于小吃快餐店、连锁餐饮店、主打外卖的餐饮店、团餐等场景。更多的消费行为由线下转到线上，也将进一步加速预制菜发展进程。巴彦淖尔</w:t>
      </w:r>
      <w:r>
        <w:rPr>
          <w:rFonts w:hint="eastAsia" w:ascii="仿宋" w:hAnsi="仿宋" w:eastAsia="仿宋"/>
          <w:sz w:val="32"/>
          <w:szCs w:val="32"/>
        </w:rPr>
        <w:t>全市</w:t>
      </w:r>
      <w:r>
        <w:rPr>
          <w:rFonts w:hint="eastAsia" w:ascii="仿宋" w:hAnsi="仿宋" w:eastAsia="仿宋"/>
          <w:sz w:val="32"/>
          <w:szCs w:val="32"/>
          <w:lang w:val="en-US" w:eastAsia="zh-CN"/>
        </w:rPr>
        <w:t>每年</w:t>
      </w:r>
      <w:r>
        <w:rPr>
          <w:rFonts w:hint="eastAsia" w:ascii="仿宋" w:hAnsi="仿宋" w:eastAsia="仿宋"/>
          <w:sz w:val="32"/>
          <w:szCs w:val="32"/>
        </w:rPr>
        <w:t>肉类总产量48.83万吨。</w:t>
      </w:r>
      <w:r>
        <w:rPr>
          <w:rFonts w:hint="eastAsia" w:ascii="仿宋" w:hAnsi="仿宋" w:eastAsia="仿宋"/>
          <w:sz w:val="32"/>
          <w:szCs w:val="32"/>
          <w:lang w:val="en-US" w:eastAsia="zh-CN"/>
        </w:rPr>
        <w:t>蔬菜种植面积约35万亩，蔬菜总产量约18亿公斤。</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default" w:ascii="仿宋" w:hAnsi="仿宋" w:eastAsia="仿宋"/>
          <w:sz w:val="32"/>
          <w:szCs w:val="32"/>
          <w:lang w:val="en-US" w:eastAsia="zh-CN"/>
        </w:rPr>
      </w:pPr>
      <w:r>
        <w:rPr>
          <w:rFonts w:hint="eastAsia" w:ascii="仿宋" w:hAnsi="仿宋" w:eastAsia="仿宋"/>
          <w:b/>
          <w:bCs/>
          <w:sz w:val="32"/>
          <w:szCs w:val="32"/>
          <w:lang w:val="en-US" w:eastAsia="zh-CN"/>
        </w:rPr>
        <w:t>建设内容：</w:t>
      </w:r>
      <w:r>
        <w:rPr>
          <w:rFonts w:hint="eastAsia" w:ascii="仿宋" w:hAnsi="仿宋" w:eastAsia="仿宋" w:cs="仿宋"/>
          <w:b w:val="0"/>
          <w:bCs w:val="0"/>
          <w:sz w:val="32"/>
          <w:szCs w:val="32"/>
          <w:lang w:val="en-US" w:eastAsia="zh-CN"/>
        </w:rPr>
        <w:t>预制菜生产</w:t>
      </w:r>
      <w:r>
        <w:rPr>
          <w:rFonts w:hint="eastAsia" w:ascii="仿宋" w:hAnsi="仿宋" w:eastAsia="仿宋"/>
          <w:sz w:val="32"/>
          <w:szCs w:val="32"/>
        </w:rPr>
        <w:t>设</w:t>
      </w:r>
      <w:r>
        <w:rPr>
          <w:rFonts w:hint="eastAsia" w:ascii="仿宋" w:hAnsi="仿宋" w:eastAsia="仿宋"/>
          <w:sz w:val="32"/>
          <w:szCs w:val="32"/>
          <w:lang w:val="en-US" w:eastAsia="zh-CN"/>
        </w:rPr>
        <w:t>备、</w:t>
      </w:r>
      <w:r>
        <w:rPr>
          <w:rFonts w:hint="eastAsia" w:ascii="仿宋" w:hAnsi="仿宋" w:eastAsia="仿宋"/>
          <w:sz w:val="32"/>
          <w:szCs w:val="32"/>
        </w:rPr>
        <w:t>速冻锁鲜、冷链物流</w:t>
      </w:r>
      <w:r>
        <w:rPr>
          <w:rFonts w:hint="eastAsia" w:ascii="仿宋" w:hAnsi="仿宋" w:eastAsia="仿宋"/>
          <w:sz w:val="32"/>
          <w:szCs w:val="32"/>
          <w:lang w:val="en-US" w:eastAsia="zh-CN"/>
        </w:rPr>
        <w:t>体系</w:t>
      </w:r>
      <w:r>
        <w:rPr>
          <w:rFonts w:hint="eastAsia" w:ascii="仿宋" w:hAnsi="仿宋" w:eastAsia="仿宋"/>
          <w:sz w:val="32"/>
          <w:szCs w:val="32"/>
        </w:rPr>
        <w:t>、信息网络等</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投资额度：</w:t>
      </w:r>
      <w:r>
        <w:rPr>
          <w:rFonts w:hint="eastAsia" w:ascii="仿宋" w:hAnsi="仿宋" w:eastAsia="仿宋" w:cs="仿宋"/>
          <w:b w:val="0"/>
          <w:bCs w:val="0"/>
          <w:sz w:val="32"/>
          <w:szCs w:val="32"/>
          <w:lang w:val="en-US" w:eastAsia="zh-CN"/>
        </w:rPr>
        <w:t>项目预算总投资15000万元，资金来源为企业自筹。</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达产后预计年产值45000万元，年税收贡献约5000万元，同时可以带动本地超200人就业。</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center"/>
        <w:textAlignment w:val="auto"/>
        <w:outlineLvl w:val="9"/>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44"/>
          <w:szCs w:val="44"/>
        </w:rPr>
        <w:t>乡村振兴产业发展及运营</w:t>
      </w:r>
      <w:r>
        <w:rPr>
          <w:rFonts w:hint="eastAsia" w:ascii="黑体" w:hAnsi="黑体" w:eastAsia="黑体" w:cs="黑体"/>
          <w:b w:val="0"/>
          <w:bCs w:val="0"/>
          <w:sz w:val="44"/>
          <w:szCs w:val="44"/>
          <w:lang w:val="en-US" w:eastAsia="zh-CN"/>
        </w:rPr>
        <w:t>项目</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sz w:val="32"/>
          <w:szCs w:val="32"/>
          <w:lang w:val="en-US" w:eastAsia="zh-CN"/>
        </w:rPr>
        <w:t>乡村振兴以产业兴旺为发展目标，强调一二三产业融合发展，不断扩宽延长农业生产的产业链和价值链，目的就是要通过对农业的现代化改革提升农业生产效率，切实提高农民的收入，缩小工农收入差距。从提高农民生活水平维度看，乡村振兴战略通过推动乡村建设行动和县域内融合发展，从根本上提高农民的生活水平，提高农民的获得感和幸福感。从提升农村文明程度维度看，乡村振兴强调坚持以社会主义核心价值观为引领，通过建设新时代文明实践站、制定村规民约、开展移风易俗等行动，培育文明乡风、良好家风、淳朴民风，推动建设邻里守望、诚信重礼、勤俭节约的文明乡村。</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_GB2312"/>
          <w:sz w:val="32"/>
          <w:szCs w:val="32"/>
          <w:lang w:val="en-US" w:eastAsia="zh-CN"/>
        </w:rPr>
      </w:pPr>
      <w:r>
        <w:rPr>
          <w:rFonts w:hint="eastAsia" w:ascii="仿宋" w:hAnsi="仿宋" w:eastAsia="仿宋"/>
          <w:b/>
          <w:bCs/>
          <w:sz w:val="32"/>
          <w:szCs w:val="32"/>
          <w:lang w:val="en-US" w:eastAsia="zh-CN"/>
        </w:rPr>
        <w:t>建设内容：</w:t>
      </w:r>
      <w:r>
        <w:rPr>
          <w:rFonts w:hint="eastAsia" w:ascii="仿宋_GB2312" w:hAnsi="仿宋_GB2312" w:eastAsia="仿宋_GB2312" w:cs="仿宋_GB2312"/>
          <w:sz w:val="32"/>
          <w:szCs w:val="32"/>
        </w:rPr>
        <w:t>乡村振兴产业发展及运营</w:t>
      </w:r>
      <w:r>
        <w:rPr>
          <w:rFonts w:hint="eastAsia" w:ascii="仿宋_GB2312" w:hAnsi="仿宋_GB2312" w:eastAsia="仿宋_GB2312" w:cs="仿宋_GB2312"/>
          <w:sz w:val="32"/>
          <w:szCs w:val="32"/>
          <w:lang w:val="en-US" w:eastAsia="zh-CN"/>
        </w:rPr>
        <w:t>等</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投资额度：</w:t>
      </w:r>
      <w:r>
        <w:rPr>
          <w:rFonts w:hint="eastAsia" w:ascii="仿宋" w:hAnsi="仿宋" w:eastAsia="仿宋" w:cs="仿宋"/>
          <w:b w:val="0"/>
          <w:bCs w:val="0"/>
          <w:sz w:val="32"/>
          <w:szCs w:val="32"/>
          <w:lang w:val="en-US" w:eastAsia="zh-CN"/>
        </w:rPr>
        <w:t>项目预算总投资50000万元，资金来源为企业自筹、政府支持。</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达产后预计年产值80000万元，年税收贡献约64000万元。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center"/>
        <w:textAlignment w:val="auto"/>
        <w:outlineLvl w:val="9"/>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数字城市项目</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sz w:val="32"/>
          <w:szCs w:val="32"/>
          <w:lang w:val="en-US" w:eastAsia="zh-CN"/>
        </w:rPr>
        <w:t>通</w:t>
      </w:r>
      <w:r>
        <w:rPr>
          <w:rFonts w:hint="eastAsia" w:ascii="仿宋" w:hAnsi="仿宋" w:eastAsia="仿宋" w:cs="仿宋"/>
          <w:b w:val="0"/>
          <w:bCs w:val="0"/>
          <w:sz w:val="32"/>
          <w:szCs w:val="32"/>
          <w:highlight w:val="none"/>
          <w:lang w:val="en-US" w:eastAsia="zh-CN"/>
        </w:rPr>
        <w:t>通过数字化城市建设</w:t>
      </w:r>
      <w:r>
        <w:rPr>
          <w:rFonts w:hint="eastAsia" w:ascii="仿宋" w:hAnsi="仿宋" w:eastAsia="仿宋" w:cs="仿宋"/>
          <w:sz w:val="32"/>
          <w:szCs w:val="32"/>
          <w:lang w:val="en-US" w:eastAsia="zh-CN"/>
        </w:rPr>
        <w:t>，加强优质资源配置，助推城市规模壮大，补充城市功能完善，有效提高公共服务能力和基础设施的支撑能力，塑造城市新特色，改善城市面貌，着力提升城市吸引力、承载力和辐射力，通过智能园区建设与数字化运营服务，以运营为目标的设计，实现园区 IB + IT + OT（智能建筑+信息技术+运营技术）整体贯通；转变原有单点功能方案到以人为本的智慧应用方案，联通园区服务各部门，为用户提供舒适、高效、便捷的工作或生活环境；运用物联网、大数据、AI、云计算、5G等智慧园区相关技术，通过信息化手段的综合集成和业务创新，推动园区的数字化运营模式升级；以数据为核心，驱动园区各环节各流程的重塑，实现数字化管理和降低成本</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_GB2312"/>
          <w:sz w:val="32"/>
          <w:szCs w:val="32"/>
          <w:lang w:val="en-US" w:eastAsia="zh-CN"/>
        </w:rPr>
      </w:pPr>
      <w:r>
        <w:rPr>
          <w:rFonts w:hint="eastAsia" w:ascii="仿宋" w:hAnsi="仿宋" w:eastAsia="仿宋"/>
          <w:b/>
          <w:bCs/>
          <w:sz w:val="32"/>
          <w:szCs w:val="32"/>
          <w:lang w:val="en-US" w:eastAsia="zh-CN"/>
        </w:rPr>
        <w:t>建设内容：</w:t>
      </w:r>
      <w:r>
        <w:rPr>
          <w:rFonts w:hint="eastAsia" w:ascii="仿宋" w:hAnsi="仿宋" w:eastAsia="仿宋"/>
          <w:b w:val="0"/>
          <w:bCs w:val="0"/>
          <w:sz w:val="32"/>
          <w:szCs w:val="32"/>
          <w:lang w:val="en-US" w:eastAsia="zh-CN"/>
        </w:rPr>
        <w:t>数字城市，智慧产业园建设</w:t>
      </w:r>
      <w:r>
        <w:rPr>
          <w:rFonts w:hint="eastAsia" w:ascii="仿宋_GB2312" w:hAnsi="仿宋_GB2312" w:eastAsia="仿宋_GB2312" w:cs="仿宋_GB2312"/>
          <w:sz w:val="32"/>
          <w:szCs w:val="32"/>
          <w:lang w:val="en-US" w:eastAsia="zh-CN"/>
        </w:rPr>
        <w:t>等</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投资额度：</w:t>
      </w:r>
      <w:r>
        <w:rPr>
          <w:rFonts w:hint="eastAsia" w:ascii="仿宋" w:hAnsi="仿宋" w:eastAsia="仿宋" w:cs="仿宋"/>
          <w:b w:val="0"/>
          <w:bCs w:val="0"/>
          <w:sz w:val="32"/>
          <w:szCs w:val="32"/>
          <w:lang w:val="en-US" w:eastAsia="zh-CN"/>
        </w:rPr>
        <w:t>项目预算总投资100000万元，资金来源为企业自筹、政府支持。</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达产后预计年产值150000万元，年税收贡献约120000</w:t>
      </w:r>
      <w:bookmarkStart w:id="9" w:name="_GoBack"/>
      <w:bookmarkEnd w:id="9"/>
      <w:r>
        <w:rPr>
          <w:rFonts w:hint="eastAsia" w:ascii="仿宋" w:hAnsi="仿宋" w:eastAsia="仿宋" w:cs="仿宋"/>
          <w:b w:val="0"/>
          <w:bCs w:val="0"/>
          <w:sz w:val="32"/>
          <w:szCs w:val="32"/>
          <w:lang w:val="en-US" w:eastAsia="zh-CN"/>
        </w:rPr>
        <w:t>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center"/>
        <w:textAlignment w:val="auto"/>
        <w:outlineLvl w:val="9"/>
        <w:rPr>
          <w:rFonts w:hint="eastAsia" w:ascii="黑体" w:hAnsi="黑体" w:eastAsia="黑体" w:cs="黑体"/>
          <w:sz w:val="44"/>
          <w:szCs w:val="44"/>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center"/>
        <w:textAlignment w:val="auto"/>
        <w:outlineLvl w:val="9"/>
        <w:rPr>
          <w:rFonts w:hint="eastAsia" w:ascii="黑体" w:hAnsi="黑体" w:eastAsia="黑体" w:cs="黑体"/>
          <w:sz w:val="44"/>
          <w:szCs w:val="44"/>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center"/>
        <w:textAlignment w:val="auto"/>
        <w:outlineLvl w:val="9"/>
        <w:rPr>
          <w:rFonts w:hint="eastAsia" w:ascii="黑体" w:hAnsi="黑体" w:eastAsia="黑体" w:cs="黑体"/>
          <w:sz w:val="44"/>
          <w:szCs w:val="44"/>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center"/>
        <w:textAlignment w:val="auto"/>
        <w:outlineLvl w:val="9"/>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南瓜籽产业园项目</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sz w:val="32"/>
          <w:szCs w:val="32"/>
          <w:lang w:val="en-US" w:eastAsia="zh-CN"/>
        </w:rPr>
        <w:t>通过产业园运营公司专业化运营，实现南瓜籽产业管理规范化，质量标准化，市场品牌化和形态一体化，高质量发展。本项目将建设南瓜籽精深加工标准化厂房、定制化厂房、共享工厂、研发办公，检验检测、冷链仓储、电商服务、展示交易、供应链金融服务等，并配建专家公寓、人才公寓、污水处理、园区生活配套设施部分（公共洗衣房、员工餐厅）等，形成一体化的全 产业链融合发展园区。</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_GB2312"/>
          <w:sz w:val="32"/>
          <w:szCs w:val="32"/>
          <w:lang w:val="en-US" w:eastAsia="zh-CN"/>
        </w:rPr>
      </w:pPr>
      <w:r>
        <w:rPr>
          <w:rFonts w:hint="eastAsia" w:ascii="仿宋" w:hAnsi="仿宋" w:eastAsia="仿宋"/>
          <w:b/>
          <w:bCs/>
          <w:sz w:val="32"/>
          <w:szCs w:val="32"/>
          <w:lang w:val="en-US" w:eastAsia="zh-CN"/>
        </w:rPr>
        <w:t>建设内容：</w:t>
      </w:r>
      <w:r>
        <w:rPr>
          <w:rFonts w:hint="eastAsia" w:ascii="仿宋_GB2312" w:hAnsi="仿宋_GB2312" w:eastAsia="仿宋_GB2312" w:cs="仿宋_GB2312"/>
          <w:sz w:val="32"/>
          <w:szCs w:val="32"/>
        </w:rPr>
        <w:t>乡村振兴产业发展及运营</w:t>
      </w:r>
      <w:r>
        <w:rPr>
          <w:rFonts w:hint="eastAsia" w:ascii="仿宋_GB2312" w:hAnsi="仿宋_GB2312" w:eastAsia="仿宋_GB2312" w:cs="仿宋_GB2312"/>
          <w:sz w:val="32"/>
          <w:szCs w:val="32"/>
          <w:lang w:val="en-US" w:eastAsia="zh-CN"/>
        </w:rPr>
        <w:t>等</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投资额度：</w:t>
      </w:r>
      <w:r>
        <w:rPr>
          <w:rFonts w:hint="eastAsia" w:ascii="仿宋" w:hAnsi="仿宋" w:eastAsia="仿宋" w:cs="仿宋"/>
          <w:b w:val="0"/>
          <w:bCs w:val="0"/>
          <w:sz w:val="32"/>
          <w:szCs w:val="32"/>
          <w:lang w:val="en-US" w:eastAsia="zh-CN"/>
        </w:rPr>
        <w:t>项目预算总投资20000万元，资金来源为企业自筹、政府支持。</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达产后预计年产值50000万元，年税收贡献约40000万元。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right="0" w:rightChars="0" w:firstLine="0" w:firstLineChars="0"/>
        <w:jc w:val="both"/>
        <w:textAlignment w:val="auto"/>
        <w:outlineLvl w:val="9"/>
        <w:rPr>
          <w:rFonts w:hint="eastAsia" w:ascii="仿宋" w:hAnsi="仿宋" w:eastAsia="仿宋" w:cs="仿宋"/>
          <w:sz w:val="32"/>
          <w:szCs w:val="32"/>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bCs/>
          <w:sz w:val="32"/>
          <w:szCs w:val="32"/>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
          <w:bCs/>
          <w:sz w:val="32"/>
          <w:szCs w:val="32"/>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b/>
          <w:bCs w:val="0"/>
          <w:sz w:val="44"/>
          <w:szCs w:val="44"/>
          <w:lang w:val="en-US" w:eastAsia="zh-CN"/>
        </w:rPr>
      </w:pPr>
      <w:r>
        <w:rPr>
          <w:rFonts w:hint="eastAsia" w:ascii="仿宋_GB2312" w:hAnsi="仿宋_GB2312" w:eastAsia="仿宋_GB2312" w:cs="仿宋_GB2312"/>
          <w:b/>
          <w:bCs w:val="0"/>
          <w:sz w:val="44"/>
          <w:szCs w:val="44"/>
          <w:lang w:val="en-US" w:eastAsia="zh-CN"/>
        </w:rPr>
        <w:t>国家大学科创园项目</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b/>
          <w:bCs w:val="0"/>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_GB2312"/>
          <w:sz w:val="32"/>
          <w:szCs w:val="32"/>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b w:val="0"/>
          <w:bCs w:val="0"/>
          <w:sz w:val="32"/>
          <w:szCs w:val="32"/>
          <w:lang w:val="en-US" w:eastAsia="zh-CN"/>
        </w:rPr>
        <w:t>项目以“国家大学农业科技园+大学农业科技成果转化中心+新兴产业振兴科创基地”为三大核心，周围拉动并覆盖城市商业综合体、文化旅游、怡养宜居，把人才引进与培养、科技研发与孵化、产业转型与振兴有机结合，能够形成比传统“石油农业”劳动生产率更高、可持续发展的新型产业，助推地方发展实现从劳动密集型产业经济向知识经济、信息经济、生态经济的跨越。</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投资额度：</w:t>
      </w:r>
      <w:r>
        <w:rPr>
          <w:rFonts w:hint="eastAsia" w:ascii="仿宋" w:hAnsi="仿宋" w:eastAsia="仿宋" w:cs="仿宋"/>
          <w:b w:val="0"/>
          <w:bCs w:val="0"/>
          <w:sz w:val="32"/>
          <w:szCs w:val="32"/>
          <w:lang w:val="en-US" w:eastAsia="zh-CN"/>
        </w:rPr>
        <w:t>项目预算总投资500000万元，资金来源为企业自筹、政府支持。</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达产后预计年产值700000万元，年税收贡献约560000万元。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b/>
          <w:bCs w:val="0"/>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b/>
          <w:bCs w:val="0"/>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b/>
          <w:bCs w:val="0"/>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44"/>
          <w:szCs w:val="44"/>
          <w:lang w:val="en-US" w:eastAsia="zh-CN"/>
        </w:rPr>
        <w:t>面源污染治理项目</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_GB2312"/>
          <w:sz w:val="32"/>
          <w:szCs w:val="32"/>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b w:val="0"/>
          <w:bCs w:val="0"/>
          <w:sz w:val="32"/>
          <w:szCs w:val="32"/>
          <w:lang w:val="en-US" w:eastAsia="zh-CN"/>
        </w:rPr>
        <w:t>针对农业面源污染物来源复杂、污染交互影响、区域差异明显等特点，以环境承载力为前提，从全链条循环—全时空配置—全过程防控出发，形成典型区域水—肥—废弃物时空统筹配置的农业种植与畜禽养殖污染最佳治理技术模式。集成与创新污染物源头减量、资源多途径利用、污染多层级控制等技术和产品装备，加快建设农业面源污染处理配套设施，总结形成一批可复制、可推广的农业面源污染治理技术模式，逐步形成规模化与产业化效应。</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投资额度：</w:t>
      </w:r>
      <w:r>
        <w:rPr>
          <w:rFonts w:hint="eastAsia" w:ascii="仿宋" w:hAnsi="仿宋" w:eastAsia="仿宋" w:cs="仿宋"/>
          <w:b w:val="0"/>
          <w:bCs w:val="0"/>
          <w:sz w:val="32"/>
          <w:szCs w:val="32"/>
          <w:lang w:val="en-US" w:eastAsia="zh-CN"/>
        </w:rPr>
        <w:t>项目预算总投资100000万元，资金来源为企业自筹、政府支持。</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达产后预计年产值150000万元，年税收贡献约120000万元。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44"/>
          <w:szCs w:val="44"/>
          <w:lang w:val="en-US" w:eastAsia="zh-CN"/>
        </w:rPr>
        <w:t>向日葵产销加工一体化产业示范园项目</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_GB2312"/>
          <w:sz w:val="32"/>
          <w:szCs w:val="32"/>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b w:val="0"/>
          <w:bCs w:val="0"/>
          <w:sz w:val="32"/>
          <w:szCs w:val="32"/>
          <w:lang w:val="en-US" w:eastAsia="zh-CN"/>
        </w:rPr>
        <w:t>重点聚焦河套向日葵优势产业带和特色农产品优势区的主产旗县，重点聚焦全产业链打造和一二三产业融合发展，重点聚焦龙头企业和产业化联合体培育，切实加强种子研发、基地建设、机播机收、精深加工、仓储流通、品牌培育等产业链建设，不断延长产业链、优化供应链、提升价值链。</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投资额度：</w:t>
      </w:r>
      <w:r>
        <w:rPr>
          <w:rFonts w:hint="eastAsia" w:ascii="仿宋" w:hAnsi="仿宋" w:eastAsia="仿宋" w:cs="仿宋"/>
          <w:b w:val="0"/>
          <w:bCs w:val="0"/>
          <w:sz w:val="32"/>
          <w:szCs w:val="32"/>
          <w:lang w:val="en-US" w:eastAsia="zh-CN"/>
        </w:rPr>
        <w:t>项目预算总投资20000万元，资金来源为企业自筹、政府支持。</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达产后预计年产值40000万元，年税收贡献约32000万元。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r>
        <w:rPr>
          <w:rFonts w:hint="eastAsia" w:ascii="仿宋_GB2312" w:hAnsi="仿宋_GB2312" w:eastAsia="仿宋_GB2312" w:cs="仿宋_GB2312"/>
          <w:sz w:val="44"/>
          <w:szCs w:val="44"/>
          <w:lang w:eastAsia="zh-CN"/>
        </w:rPr>
        <w:t>可降解</w:t>
      </w:r>
      <w:r>
        <w:rPr>
          <w:rFonts w:hint="eastAsia" w:ascii="仿宋_GB2312" w:hAnsi="仿宋_GB2312" w:eastAsia="仿宋_GB2312" w:cs="仿宋_GB2312"/>
          <w:sz w:val="44"/>
          <w:szCs w:val="44"/>
          <w:lang w:val="en-US" w:eastAsia="zh-CN"/>
        </w:rPr>
        <w:t>生物地膜</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b w:val="0"/>
          <w:bCs w:val="0"/>
          <w:sz w:val="32"/>
          <w:szCs w:val="32"/>
          <w:lang w:val="en-US" w:eastAsia="zh-CN"/>
        </w:rPr>
        <w:t>全生物降解地膜主要适合在中短生育期和对温度不敏感作物上应用，如玉米、水稻、马铃薯、甘薯、大豆、花生、蔬菜、甜菜和烟草等。对于农业保墒、缓解土地白色污染具有十分重要的意义。2022年3月16日，农业农村部农业生态与资源保护总站印发《2022年地膜科学使用回收试点技术指导意见》，将向各地推广加厚高强度地膜5000万亩、全生物降解地膜500万亩。</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达产后预计年产值30000万元，年税收贡献约24000万元。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default"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sz w:val="44"/>
          <w:szCs w:val="44"/>
          <w:lang w:val="en-US" w:eastAsia="zh-CN"/>
        </w:rPr>
      </w:pPr>
      <w:r>
        <w:rPr>
          <w:rFonts w:hint="eastAsia" w:ascii="仿宋_GB2312" w:hAnsi="仿宋_GB2312" w:eastAsia="仿宋_GB2312" w:cs="仿宋_GB2312"/>
          <w:sz w:val="44"/>
          <w:szCs w:val="44"/>
        </w:rPr>
        <w:t>空气储能及区域整体提升</w:t>
      </w:r>
      <w:r>
        <w:rPr>
          <w:rFonts w:hint="eastAsia" w:ascii="仿宋_GB2312" w:hAnsi="仿宋_GB2312" w:eastAsia="仿宋_GB2312" w:cs="仿宋_GB2312"/>
          <w:sz w:val="44"/>
          <w:szCs w:val="44"/>
          <w:lang w:val="en-US" w:eastAsia="zh-CN"/>
        </w:rPr>
        <w:t>项目</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b w:val="0"/>
          <w:bCs w:val="0"/>
          <w:sz w:val="32"/>
          <w:szCs w:val="32"/>
          <w:lang w:val="en-US" w:eastAsia="zh-CN"/>
        </w:rPr>
        <w:t>压缩空气储能技术具有规模大、成本低、寿命长、安全性好、清洁无污染等优点，是最具发展前景的大规模储能技术之一，用弃风、弃光或者用电低谷的富余电能，通过电动机带动压缩机做功，把常压空气压缩成高压空气，存储在储气装置中，在用电高峰时释放高压空气驱动膨胀机并带动发电机发电。</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达产后预计年产值30000万元，年税收贡献约24000万元。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center"/>
        <w:textAlignment w:val="auto"/>
        <w:rPr>
          <w:rFonts w:hint="eastAsia" w:ascii="仿宋_GB2312" w:hAnsi="仿宋_GB2312" w:eastAsia="仿宋_GB2312" w:cs="仿宋_GB2312"/>
          <w:sz w:val="44"/>
          <w:szCs w:val="44"/>
        </w:rPr>
      </w:pPr>
      <w:r>
        <w:rPr>
          <w:rFonts w:hint="eastAsia" w:ascii="仿宋_GB2312" w:hAnsi="仿宋_GB2312" w:eastAsia="仿宋_GB2312" w:cs="仿宋_GB2312"/>
          <w:sz w:val="44"/>
          <w:szCs w:val="44"/>
        </w:rPr>
        <w:t>重卡新能源换电项目</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lang w:val="en-US" w:eastAsia="zh-CN"/>
        </w:rPr>
      </w:pPr>
      <w:r>
        <w:rPr>
          <w:rFonts w:hint="eastAsia" w:ascii="仿宋_GB2312" w:hAnsi="仿宋_GB2312" w:eastAsia="仿宋_GB2312" w:cs="仿宋_GB2312"/>
          <w:b/>
          <w:bCs/>
          <w:sz w:val="32"/>
          <w:szCs w:val="32"/>
          <w:lang w:val="en-US" w:eastAsia="zh-CN"/>
        </w:rPr>
        <w:t>项目简介：</w:t>
      </w:r>
      <w:r>
        <w:rPr>
          <w:rFonts w:hint="eastAsia" w:ascii="仿宋_GB2312" w:hAnsi="仿宋_GB2312" w:eastAsia="仿宋_GB2312" w:cs="仿宋_GB2312"/>
          <w:sz w:val="32"/>
          <w:szCs w:val="32"/>
          <w:lang w:val="en-US" w:eastAsia="zh-CN"/>
        </w:rPr>
        <w:t>支持换电模式的新能源汽车大都是采用“车电分离，电池租赁”的销售方式，将占制造成本40%-50%的动力电池由售转租，这意味着消费者在购车时无需承担电池的成本，极大的降低了购车负担，并且由于车价中不含极易贬值的动力电池，换电车型有更好的保值效果和性价比</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效益分析：</w:t>
      </w:r>
      <w:r>
        <w:rPr>
          <w:rFonts w:hint="eastAsia" w:ascii="仿宋" w:hAnsi="仿宋" w:eastAsia="仿宋" w:cs="仿宋"/>
          <w:b w:val="0"/>
          <w:bCs w:val="0"/>
          <w:sz w:val="32"/>
          <w:szCs w:val="32"/>
          <w:lang w:val="en-US" w:eastAsia="zh-CN"/>
        </w:rPr>
        <w:t>达产后预计年产值20000万元，年税收贡献约16000万元。</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bCs/>
          <w:sz w:val="32"/>
          <w:szCs w:val="32"/>
        </w:rPr>
      </w:pPr>
      <w:r>
        <w:rPr>
          <w:rFonts w:hint="eastAsia" w:ascii="仿宋" w:hAnsi="仿宋" w:eastAsia="仿宋" w:cs="仿宋"/>
          <w:b/>
          <w:bCs/>
          <w:sz w:val="32"/>
          <w:szCs w:val="32"/>
        </w:rPr>
        <w:t>合作方式：</w:t>
      </w:r>
      <w:r>
        <w:rPr>
          <w:rFonts w:hint="eastAsia" w:ascii="仿宋" w:hAnsi="仿宋" w:eastAsia="仿宋" w:cs="仿宋"/>
          <w:bCs/>
          <w:sz w:val="32"/>
          <w:szCs w:val="32"/>
        </w:rPr>
        <w:t>独资  合资  合作</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联系地址</w:t>
      </w:r>
      <w:r>
        <w:rPr>
          <w:rFonts w:hint="eastAsia" w:ascii="仿宋" w:hAnsi="仿宋" w:eastAsia="仿宋" w:cs="仿宋"/>
          <w:sz w:val="32"/>
          <w:szCs w:val="32"/>
          <w:lang w:val="en-US" w:eastAsia="zh-CN"/>
        </w:rPr>
        <w:t>：临河区投资促进中心</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联 系 人</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lang w:val="en-US" w:eastAsia="zh-CN"/>
        </w:rPr>
        <w:t>张飞  尚子文</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 xml:space="preserve">：0478-8523857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0478-85</w:t>
      </w:r>
      <w:r>
        <w:rPr>
          <w:rFonts w:hint="eastAsia" w:ascii="仿宋" w:hAnsi="仿宋" w:eastAsia="仿宋" w:cs="仿宋"/>
          <w:sz w:val="32"/>
          <w:szCs w:val="32"/>
          <w:lang w:val="en-US" w:eastAsia="zh-CN"/>
        </w:rPr>
        <w:t>2</w:t>
      </w:r>
      <w:r>
        <w:rPr>
          <w:rFonts w:hint="eastAsia" w:ascii="仿宋" w:hAnsi="仿宋" w:eastAsia="仿宋" w:cs="仿宋"/>
          <w:sz w:val="32"/>
          <w:szCs w:val="32"/>
        </w:rPr>
        <w:t>3853</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b/>
          <w:bCs/>
          <w:sz w:val="32"/>
          <w:szCs w:val="32"/>
        </w:rPr>
        <w:t>邮</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箱:</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 xml:space="preserve">linhezs@163.com    </w:t>
      </w:r>
    </w:p>
    <w:p>
      <w:pPr>
        <w:pStyle w:val="17"/>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b/>
          <w:sz w:val="32"/>
          <w:szCs w:val="32"/>
        </w:rPr>
        <w:t>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真</w:t>
      </w:r>
      <w:r>
        <w:rPr>
          <w:rFonts w:hint="eastAsia" w:ascii="仿宋" w:hAnsi="仿宋" w:eastAsia="仿宋" w:cs="仿宋"/>
          <w:sz w:val="32"/>
          <w:szCs w:val="32"/>
        </w:rPr>
        <w:t>：0478-852385</w:t>
      </w:r>
      <w:r>
        <w:rPr>
          <w:rFonts w:hint="eastAsia" w:ascii="仿宋" w:hAnsi="仿宋" w:eastAsia="仿宋" w:cs="仿宋"/>
          <w:sz w:val="32"/>
          <w:szCs w:val="32"/>
          <w:lang w:val="en-US" w:eastAsia="zh-CN"/>
        </w:rPr>
        <w:t>3</w:t>
      </w: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p>
      <w:pPr>
        <w:pStyle w:val="15"/>
        <w:keepNext w:val="0"/>
        <w:keepLines w:val="0"/>
        <w:pageBreakBefore w:val="0"/>
        <w:widowControl w:val="0"/>
        <w:kinsoku/>
        <w:wordWrap/>
        <w:overflowPunct/>
        <w:topLinePunct w:val="0"/>
        <w:autoSpaceDE/>
        <w:autoSpaceDN/>
        <w:bidi w:val="0"/>
        <w:adjustRightInd/>
        <w:spacing w:line="560" w:lineRule="exact"/>
        <w:ind w:left="0" w:leftChars="0" w:firstLine="0" w:firstLineChars="0"/>
        <w:jc w:val="both"/>
        <w:textAlignment w:val="auto"/>
        <w:rPr>
          <w:rFonts w:hint="eastAsia" w:ascii="仿宋_GB2312" w:hAnsi="仿宋_GB2312" w:eastAsia="仿宋_GB2312" w:cs="仿宋_GB2312"/>
          <w:sz w:val="44"/>
          <w:szCs w:val="4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A6B610-42D3-48F6-991D-E82D53FC0E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951226EF-70BA-492D-B83F-047C55DE46F8}"/>
  </w:font>
  <w:font w:name="仿宋_GB2312">
    <w:panose1 w:val="02010609030101010101"/>
    <w:charset w:val="86"/>
    <w:family w:val="modern"/>
    <w:pitch w:val="default"/>
    <w:sig w:usb0="00000001" w:usb1="080E0000" w:usb2="00000000" w:usb3="00000000" w:csb0="00040000" w:csb1="00000000"/>
    <w:embedRegular r:id="rId3" w:fontKey="{8D916C5D-9B42-4CF6-8ECA-145DBFBBB90B}"/>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embedRegular r:id="rId4" w:fontKey="{F4E51608-85C8-47FF-BF98-77333773E117}"/>
  </w:font>
  <w:font w:name="Batang">
    <w:panose1 w:val="02030600000101010101"/>
    <w:charset w:val="81"/>
    <w:family w:val="auto"/>
    <w:pitch w:val="default"/>
    <w:sig w:usb0="B00002AF" w:usb1="69D77CFB" w:usb2="00000030" w:usb3="00000000" w:csb0="4008009F" w:csb1="DFD70000"/>
    <w:embedRegular r:id="rId5" w:fontKey="{265CBCF1-1FDE-4B76-BABB-BFF0077444D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FD209A"/>
    <w:multiLevelType w:val="multilevel"/>
    <w:tmpl w:val="51FD209A"/>
    <w:lvl w:ilvl="0" w:tentative="0">
      <w:start w:val="1"/>
      <w:numFmt w:val="decimal"/>
      <w:lvlText w:val="%1"/>
      <w:lvlJc w:val="left"/>
      <w:pPr>
        <w:ind w:left="425" w:hanging="425"/>
      </w:pPr>
      <w:rPr>
        <w:rFonts w:hint="eastAsia" w:cs="Times New Roman"/>
      </w:rPr>
    </w:lvl>
    <w:lvl w:ilvl="1" w:tentative="0">
      <w:start w:val="1"/>
      <w:numFmt w:val="decimal"/>
      <w:pStyle w:val="3"/>
      <w:lvlText w:val="%1.%2"/>
      <w:lvlJc w:val="left"/>
      <w:pPr>
        <w:ind w:left="4253" w:hanging="567"/>
      </w:pPr>
      <w:rPr>
        <w:rFonts w:hint="eastAsia" w:cs="Times New Roman"/>
      </w:rPr>
    </w:lvl>
    <w:lvl w:ilvl="2" w:tentative="0">
      <w:start w:val="1"/>
      <w:numFmt w:val="decimal"/>
      <w:lvlText w:val="%1.%2.%3"/>
      <w:lvlJc w:val="left"/>
      <w:pPr>
        <w:ind w:left="1418" w:hanging="567"/>
      </w:pPr>
      <w:rPr>
        <w:rFonts w:hint="eastAsia" w:cs="Times New Roman"/>
      </w:rPr>
    </w:lvl>
    <w:lvl w:ilvl="3" w:tentative="0">
      <w:start w:val="1"/>
      <w:numFmt w:val="decimal"/>
      <w:lvlText w:val="%1.%2.%3.%4"/>
      <w:lvlJc w:val="left"/>
      <w:pPr>
        <w:ind w:left="1984" w:hanging="708"/>
      </w:pPr>
      <w:rPr>
        <w:rFonts w:hint="eastAsia" w:cs="Times New Roman"/>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NTNhZmZiMDZlMmI2YTRkZThkZjU1YzI3ZWVhNTgifQ=="/>
    <w:docVar w:name="KSO_WPS_MARK_KEY" w:val="da6db288-bab3-4774-97b9-cc3efe7d5fd8"/>
  </w:docVars>
  <w:rsids>
    <w:rsidRoot w:val="16EB0D64"/>
    <w:rsid w:val="00062FF4"/>
    <w:rsid w:val="000F52B4"/>
    <w:rsid w:val="001E215B"/>
    <w:rsid w:val="001E748F"/>
    <w:rsid w:val="00264073"/>
    <w:rsid w:val="00443E0D"/>
    <w:rsid w:val="006012D8"/>
    <w:rsid w:val="0063147F"/>
    <w:rsid w:val="00641120"/>
    <w:rsid w:val="006C6159"/>
    <w:rsid w:val="00783675"/>
    <w:rsid w:val="00893649"/>
    <w:rsid w:val="009046FA"/>
    <w:rsid w:val="00905060"/>
    <w:rsid w:val="00A1625B"/>
    <w:rsid w:val="00B43491"/>
    <w:rsid w:val="00B4511A"/>
    <w:rsid w:val="00BC66FA"/>
    <w:rsid w:val="00C63663"/>
    <w:rsid w:val="00E234E2"/>
    <w:rsid w:val="00F67CAD"/>
    <w:rsid w:val="01020F9D"/>
    <w:rsid w:val="010E098D"/>
    <w:rsid w:val="01432F8F"/>
    <w:rsid w:val="0159688B"/>
    <w:rsid w:val="015D7BD0"/>
    <w:rsid w:val="016D7D4C"/>
    <w:rsid w:val="01743DEF"/>
    <w:rsid w:val="018E7EA6"/>
    <w:rsid w:val="019D1116"/>
    <w:rsid w:val="01A60D24"/>
    <w:rsid w:val="01AE1290"/>
    <w:rsid w:val="01B01811"/>
    <w:rsid w:val="01BC5E0B"/>
    <w:rsid w:val="01CC3348"/>
    <w:rsid w:val="01CD14E9"/>
    <w:rsid w:val="01CE3964"/>
    <w:rsid w:val="01CF7782"/>
    <w:rsid w:val="01D66044"/>
    <w:rsid w:val="01E04454"/>
    <w:rsid w:val="01E53EC3"/>
    <w:rsid w:val="01E65B6C"/>
    <w:rsid w:val="02141855"/>
    <w:rsid w:val="021502B6"/>
    <w:rsid w:val="02331ABF"/>
    <w:rsid w:val="02664F60"/>
    <w:rsid w:val="027C71C6"/>
    <w:rsid w:val="02B9739F"/>
    <w:rsid w:val="02CD3662"/>
    <w:rsid w:val="02CE2104"/>
    <w:rsid w:val="02DF0284"/>
    <w:rsid w:val="02DF54BB"/>
    <w:rsid w:val="02F246A0"/>
    <w:rsid w:val="02F8067E"/>
    <w:rsid w:val="031A1ACC"/>
    <w:rsid w:val="032D3AB0"/>
    <w:rsid w:val="03345AEF"/>
    <w:rsid w:val="033D045D"/>
    <w:rsid w:val="03411888"/>
    <w:rsid w:val="034E3907"/>
    <w:rsid w:val="035A7451"/>
    <w:rsid w:val="037405E1"/>
    <w:rsid w:val="03800306"/>
    <w:rsid w:val="03971BE3"/>
    <w:rsid w:val="03981854"/>
    <w:rsid w:val="03B37E12"/>
    <w:rsid w:val="03B664F8"/>
    <w:rsid w:val="03BB5138"/>
    <w:rsid w:val="03BD5CD2"/>
    <w:rsid w:val="03BE7FDA"/>
    <w:rsid w:val="03D76FB8"/>
    <w:rsid w:val="03DF281E"/>
    <w:rsid w:val="03E07202"/>
    <w:rsid w:val="03F51722"/>
    <w:rsid w:val="040B0E54"/>
    <w:rsid w:val="04156066"/>
    <w:rsid w:val="042D7D77"/>
    <w:rsid w:val="04461F7D"/>
    <w:rsid w:val="04602913"/>
    <w:rsid w:val="04785913"/>
    <w:rsid w:val="047D0B03"/>
    <w:rsid w:val="048226FD"/>
    <w:rsid w:val="04852F5C"/>
    <w:rsid w:val="048C2FE6"/>
    <w:rsid w:val="049B1894"/>
    <w:rsid w:val="049D67EB"/>
    <w:rsid w:val="04A3069B"/>
    <w:rsid w:val="04A35B06"/>
    <w:rsid w:val="04A73C31"/>
    <w:rsid w:val="04AD1166"/>
    <w:rsid w:val="04AF466E"/>
    <w:rsid w:val="04BD4904"/>
    <w:rsid w:val="04C76767"/>
    <w:rsid w:val="04CF3795"/>
    <w:rsid w:val="04D0078D"/>
    <w:rsid w:val="04D82241"/>
    <w:rsid w:val="04D8694E"/>
    <w:rsid w:val="04F26C9B"/>
    <w:rsid w:val="04F6671F"/>
    <w:rsid w:val="04F844F2"/>
    <w:rsid w:val="05023785"/>
    <w:rsid w:val="050A73C8"/>
    <w:rsid w:val="051060E7"/>
    <w:rsid w:val="05145525"/>
    <w:rsid w:val="051906B3"/>
    <w:rsid w:val="055A34C9"/>
    <w:rsid w:val="055B063A"/>
    <w:rsid w:val="056C5A14"/>
    <w:rsid w:val="0579218C"/>
    <w:rsid w:val="05951727"/>
    <w:rsid w:val="059A57EF"/>
    <w:rsid w:val="059A5A99"/>
    <w:rsid w:val="05A13C38"/>
    <w:rsid w:val="05A47E39"/>
    <w:rsid w:val="05B049FE"/>
    <w:rsid w:val="05CD1EEE"/>
    <w:rsid w:val="05EE467B"/>
    <w:rsid w:val="05F14059"/>
    <w:rsid w:val="060532B3"/>
    <w:rsid w:val="06093F8C"/>
    <w:rsid w:val="06094117"/>
    <w:rsid w:val="06337C4E"/>
    <w:rsid w:val="063A79D7"/>
    <w:rsid w:val="063B38B0"/>
    <w:rsid w:val="06437D90"/>
    <w:rsid w:val="064C5063"/>
    <w:rsid w:val="066E6E04"/>
    <w:rsid w:val="067F32A3"/>
    <w:rsid w:val="068C1E3D"/>
    <w:rsid w:val="068C471D"/>
    <w:rsid w:val="068F740A"/>
    <w:rsid w:val="069D6016"/>
    <w:rsid w:val="069F0DE6"/>
    <w:rsid w:val="06AD560C"/>
    <w:rsid w:val="06AD7894"/>
    <w:rsid w:val="06CE5ACD"/>
    <w:rsid w:val="06E63C1A"/>
    <w:rsid w:val="06E647DD"/>
    <w:rsid w:val="06F00D4A"/>
    <w:rsid w:val="06FE14EC"/>
    <w:rsid w:val="07004F88"/>
    <w:rsid w:val="070853C5"/>
    <w:rsid w:val="070F2022"/>
    <w:rsid w:val="071B6A8F"/>
    <w:rsid w:val="071D23E6"/>
    <w:rsid w:val="07381B54"/>
    <w:rsid w:val="07401C6B"/>
    <w:rsid w:val="074558AE"/>
    <w:rsid w:val="074F6A7E"/>
    <w:rsid w:val="075A0336"/>
    <w:rsid w:val="07675A66"/>
    <w:rsid w:val="07680EDB"/>
    <w:rsid w:val="07730C45"/>
    <w:rsid w:val="078B1C1D"/>
    <w:rsid w:val="079E4F16"/>
    <w:rsid w:val="07A90F43"/>
    <w:rsid w:val="07AE035B"/>
    <w:rsid w:val="07BA2956"/>
    <w:rsid w:val="07DF5906"/>
    <w:rsid w:val="07E44A3A"/>
    <w:rsid w:val="07E73774"/>
    <w:rsid w:val="07F81544"/>
    <w:rsid w:val="07FC38C4"/>
    <w:rsid w:val="081A1B04"/>
    <w:rsid w:val="0820561A"/>
    <w:rsid w:val="082A579E"/>
    <w:rsid w:val="082D7F2F"/>
    <w:rsid w:val="08421C60"/>
    <w:rsid w:val="086B687B"/>
    <w:rsid w:val="087762AF"/>
    <w:rsid w:val="08811FF6"/>
    <w:rsid w:val="088C017B"/>
    <w:rsid w:val="089A2652"/>
    <w:rsid w:val="089E5114"/>
    <w:rsid w:val="08A65643"/>
    <w:rsid w:val="08AE6343"/>
    <w:rsid w:val="08B02941"/>
    <w:rsid w:val="08BE4EEE"/>
    <w:rsid w:val="08D14561"/>
    <w:rsid w:val="08D77648"/>
    <w:rsid w:val="08DE0FD6"/>
    <w:rsid w:val="08E8391C"/>
    <w:rsid w:val="090776F6"/>
    <w:rsid w:val="090D071B"/>
    <w:rsid w:val="092764D2"/>
    <w:rsid w:val="0934343E"/>
    <w:rsid w:val="09634941"/>
    <w:rsid w:val="097D7A50"/>
    <w:rsid w:val="09C161BB"/>
    <w:rsid w:val="09E00C09"/>
    <w:rsid w:val="09F5644E"/>
    <w:rsid w:val="09FB0CA1"/>
    <w:rsid w:val="0A00728F"/>
    <w:rsid w:val="0A06635A"/>
    <w:rsid w:val="0A08710C"/>
    <w:rsid w:val="0A170510"/>
    <w:rsid w:val="0A2E5507"/>
    <w:rsid w:val="0A712AB5"/>
    <w:rsid w:val="0A735B07"/>
    <w:rsid w:val="0A774047"/>
    <w:rsid w:val="0A7E0FE9"/>
    <w:rsid w:val="0A955FFE"/>
    <w:rsid w:val="0AB339DE"/>
    <w:rsid w:val="0AB71C34"/>
    <w:rsid w:val="0ABB0B9C"/>
    <w:rsid w:val="0AC60844"/>
    <w:rsid w:val="0ACA2E3C"/>
    <w:rsid w:val="0AD32091"/>
    <w:rsid w:val="0AE62604"/>
    <w:rsid w:val="0B012814"/>
    <w:rsid w:val="0B071EA1"/>
    <w:rsid w:val="0B0F6B2B"/>
    <w:rsid w:val="0B14723C"/>
    <w:rsid w:val="0B362A12"/>
    <w:rsid w:val="0B380146"/>
    <w:rsid w:val="0B5E1102"/>
    <w:rsid w:val="0B7C735E"/>
    <w:rsid w:val="0B7D5488"/>
    <w:rsid w:val="0B7E66A2"/>
    <w:rsid w:val="0B9268C6"/>
    <w:rsid w:val="0B9354ED"/>
    <w:rsid w:val="0B996D1D"/>
    <w:rsid w:val="0BAB2ACE"/>
    <w:rsid w:val="0BC9759C"/>
    <w:rsid w:val="0BCA7764"/>
    <w:rsid w:val="0BD078E0"/>
    <w:rsid w:val="0BD92E2B"/>
    <w:rsid w:val="0BDA4FA8"/>
    <w:rsid w:val="0BF80E2F"/>
    <w:rsid w:val="0C02794B"/>
    <w:rsid w:val="0C2972AA"/>
    <w:rsid w:val="0C3C7BD3"/>
    <w:rsid w:val="0C434E70"/>
    <w:rsid w:val="0C4B62FD"/>
    <w:rsid w:val="0C590A7A"/>
    <w:rsid w:val="0C6961BD"/>
    <w:rsid w:val="0C722B96"/>
    <w:rsid w:val="0C7B2CB1"/>
    <w:rsid w:val="0C9D572B"/>
    <w:rsid w:val="0C9F2634"/>
    <w:rsid w:val="0CBD5C18"/>
    <w:rsid w:val="0CC02D4D"/>
    <w:rsid w:val="0CDA7216"/>
    <w:rsid w:val="0CE0280A"/>
    <w:rsid w:val="0CE5047F"/>
    <w:rsid w:val="0D090AAE"/>
    <w:rsid w:val="0D134102"/>
    <w:rsid w:val="0D183D8B"/>
    <w:rsid w:val="0D2A5E93"/>
    <w:rsid w:val="0D3A042D"/>
    <w:rsid w:val="0D3C5BC3"/>
    <w:rsid w:val="0D565788"/>
    <w:rsid w:val="0D5A5E30"/>
    <w:rsid w:val="0D684880"/>
    <w:rsid w:val="0D6D3171"/>
    <w:rsid w:val="0D777BF4"/>
    <w:rsid w:val="0D995119"/>
    <w:rsid w:val="0DD405FA"/>
    <w:rsid w:val="0DE32158"/>
    <w:rsid w:val="0DF50570"/>
    <w:rsid w:val="0DF71BAD"/>
    <w:rsid w:val="0E006CF3"/>
    <w:rsid w:val="0E01589C"/>
    <w:rsid w:val="0E0C5239"/>
    <w:rsid w:val="0E1430D1"/>
    <w:rsid w:val="0E196DCC"/>
    <w:rsid w:val="0E432C1B"/>
    <w:rsid w:val="0E4539CE"/>
    <w:rsid w:val="0E563123"/>
    <w:rsid w:val="0E5C389E"/>
    <w:rsid w:val="0E7A4E26"/>
    <w:rsid w:val="0E854E12"/>
    <w:rsid w:val="0E8949B8"/>
    <w:rsid w:val="0EA22F6F"/>
    <w:rsid w:val="0EB44BA7"/>
    <w:rsid w:val="0ECF2B6F"/>
    <w:rsid w:val="0ED80D13"/>
    <w:rsid w:val="0EE774DC"/>
    <w:rsid w:val="0EF06B1F"/>
    <w:rsid w:val="0F194165"/>
    <w:rsid w:val="0F303909"/>
    <w:rsid w:val="0F3C0B10"/>
    <w:rsid w:val="0F422847"/>
    <w:rsid w:val="0F5C5A92"/>
    <w:rsid w:val="0F5E0966"/>
    <w:rsid w:val="0F867C5E"/>
    <w:rsid w:val="0F871E2D"/>
    <w:rsid w:val="0F9C451E"/>
    <w:rsid w:val="0F9E73B3"/>
    <w:rsid w:val="0FAA73BB"/>
    <w:rsid w:val="0FB3330B"/>
    <w:rsid w:val="0FC509AC"/>
    <w:rsid w:val="0FEB79CA"/>
    <w:rsid w:val="0FEE38E1"/>
    <w:rsid w:val="100F69CF"/>
    <w:rsid w:val="102104E6"/>
    <w:rsid w:val="10265477"/>
    <w:rsid w:val="103550DA"/>
    <w:rsid w:val="103D3183"/>
    <w:rsid w:val="103D7B2B"/>
    <w:rsid w:val="104B3019"/>
    <w:rsid w:val="10533864"/>
    <w:rsid w:val="10592354"/>
    <w:rsid w:val="105A3E2D"/>
    <w:rsid w:val="1062158B"/>
    <w:rsid w:val="107577F0"/>
    <w:rsid w:val="10864069"/>
    <w:rsid w:val="108E37AB"/>
    <w:rsid w:val="108E6C4D"/>
    <w:rsid w:val="109328CB"/>
    <w:rsid w:val="10982DCD"/>
    <w:rsid w:val="10A124E5"/>
    <w:rsid w:val="10B94E5D"/>
    <w:rsid w:val="10CC6EA6"/>
    <w:rsid w:val="10D47D6E"/>
    <w:rsid w:val="10D72CC4"/>
    <w:rsid w:val="10E257B0"/>
    <w:rsid w:val="10F267E5"/>
    <w:rsid w:val="10FF7362"/>
    <w:rsid w:val="11002A53"/>
    <w:rsid w:val="11103F9D"/>
    <w:rsid w:val="112E240A"/>
    <w:rsid w:val="11310290"/>
    <w:rsid w:val="11335EBA"/>
    <w:rsid w:val="113B2758"/>
    <w:rsid w:val="113B347E"/>
    <w:rsid w:val="11502FF6"/>
    <w:rsid w:val="11570ADC"/>
    <w:rsid w:val="115F3368"/>
    <w:rsid w:val="116045C3"/>
    <w:rsid w:val="1176167D"/>
    <w:rsid w:val="11807CBE"/>
    <w:rsid w:val="11956640"/>
    <w:rsid w:val="11A445EE"/>
    <w:rsid w:val="11B06962"/>
    <w:rsid w:val="11B86CB6"/>
    <w:rsid w:val="11BD5426"/>
    <w:rsid w:val="11BE180F"/>
    <w:rsid w:val="11E05A73"/>
    <w:rsid w:val="11E24CFA"/>
    <w:rsid w:val="11EC3A38"/>
    <w:rsid w:val="11FA04B7"/>
    <w:rsid w:val="12311026"/>
    <w:rsid w:val="12423B8A"/>
    <w:rsid w:val="12425E76"/>
    <w:rsid w:val="12714267"/>
    <w:rsid w:val="12881E0C"/>
    <w:rsid w:val="129219B6"/>
    <w:rsid w:val="129465AA"/>
    <w:rsid w:val="129640D0"/>
    <w:rsid w:val="12A02337"/>
    <w:rsid w:val="12A15E02"/>
    <w:rsid w:val="12BC02D7"/>
    <w:rsid w:val="12D97061"/>
    <w:rsid w:val="13105041"/>
    <w:rsid w:val="131174A3"/>
    <w:rsid w:val="131612AC"/>
    <w:rsid w:val="132256B3"/>
    <w:rsid w:val="132D15BA"/>
    <w:rsid w:val="132D2D87"/>
    <w:rsid w:val="1341063E"/>
    <w:rsid w:val="134275C9"/>
    <w:rsid w:val="1349661F"/>
    <w:rsid w:val="134C7E02"/>
    <w:rsid w:val="135C2C08"/>
    <w:rsid w:val="13631E88"/>
    <w:rsid w:val="136561D8"/>
    <w:rsid w:val="13783FD2"/>
    <w:rsid w:val="13850F0B"/>
    <w:rsid w:val="139B2799"/>
    <w:rsid w:val="139F7745"/>
    <w:rsid w:val="13A77799"/>
    <w:rsid w:val="13AF06E8"/>
    <w:rsid w:val="13B56DF5"/>
    <w:rsid w:val="13CA7A27"/>
    <w:rsid w:val="13D71DB3"/>
    <w:rsid w:val="13F707CC"/>
    <w:rsid w:val="14003F99"/>
    <w:rsid w:val="14172274"/>
    <w:rsid w:val="141A1768"/>
    <w:rsid w:val="14295DFB"/>
    <w:rsid w:val="1475145D"/>
    <w:rsid w:val="148E69B9"/>
    <w:rsid w:val="149C4AA2"/>
    <w:rsid w:val="14B3445F"/>
    <w:rsid w:val="14D07D6C"/>
    <w:rsid w:val="14DB6703"/>
    <w:rsid w:val="151D074A"/>
    <w:rsid w:val="152474D3"/>
    <w:rsid w:val="153A5B86"/>
    <w:rsid w:val="1545633E"/>
    <w:rsid w:val="15913602"/>
    <w:rsid w:val="15B325E1"/>
    <w:rsid w:val="15B64AE8"/>
    <w:rsid w:val="15CB6E41"/>
    <w:rsid w:val="15DD1276"/>
    <w:rsid w:val="15DE463E"/>
    <w:rsid w:val="15DF5B88"/>
    <w:rsid w:val="15E2587E"/>
    <w:rsid w:val="160072B5"/>
    <w:rsid w:val="1609125F"/>
    <w:rsid w:val="160F14BB"/>
    <w:rsid w:val="16140405"/>
    <w:rsid w:val="16164BF4"/>
    <w:rsid w:val="16167AA2"/>
    <w:rsid w:val="16215636"/>
    <w:rsid w:val="162B0FD3"/>
    <w:rsid w:val="1639418A"/>
    <w:rsid w:val="1653052A"/>
    <w:rsid w:val="16554E7F"/>
    <w:rsid w:val="165C4D73"/>
    <w:rsid w:val="16660831"/>
    <w:rsid w:val="16740CC8"/>
    <w:rsid w:val="16A720A8"/>
    <w:rsid w:val="16A843D2"/>
    <w:rsid w:val="16AB4171"/>
    <w:rsid w:val="16B20DAC"/>
    <w:rsid w:val="16BA27B2"/>
    <w:rsid w:val="16BC4049"/>
    <w:rsid w:val="16C10464"/>
    <w:rsid w:val="16D17D14"/>
    <w:rsid w:val="16D5054D"/>
    <w:rsid w:val="16DA328D"/>
    <w:rsid w:val="16EB0D64"/>
    <w:rsid w:val="16EC6B78"/>
    <w:rsid w:val="170E3C8C"/>
    <w:rsid w:val="172B655E"/>
    <w:rsid w:val="174248F4"/>
    <w:rsid w:val="174A36DB"/>
    <w:rsid w:val="17716EB9"/>
    <w:rsid w:val="17737C6B"/>
    <w:rsid w:val="17805521"/>
    <w:rsid w:val="17877FE9"/>
    <w:rsid w:val="1789202C"/>
    <w:rsid w:val="17984DBB"/>
    <w:rsid w:val="179A3D89"/>
    <w:rsid w:val="17AF1790"/>
    <w:rsid w:val="17B076B8"/>
    <w:rsid w:val="17C851DA"/>
    <w:rsid w:val="17CE7298"/>
    <w:rsid w:val="17D551CF"/>
    <w:rsid w:val="17DC2A48"/>
    <w:rsid w:val="17F74951"/>
    <w:rsid w:val="180229D1"/>
    <w:rsid w:val="181C37EB"/>
    <w:rsid w:val="181C47DB"/>
    <w:rsid w:val="182918AA"/>
    <w:rsid w:val="1831278D"/>
    <w:rsid w:val="183B6242"/>
    <w:rsid w:val="184C0214"/>
    <w:rsid w:val="184E7800"/>
    <w:rsid w:val="184F5C9B"/>
    <w:rsid w:val="18683E8A"/>
    <w:rsid w:val="186B73D8"/>
    <w:rsid w:val="18904356"/>
    <w:rsid w:val="18981B78"/>
    <w:rsid w:val="18B8003B"/>
    <w:rsid w:val="18BC7E53"/>
    <w:rsid w:val="18BE5D55"/>
    <w:rsid w:val="18DF618C"/>
    <w:rsid w:val="18E8737D"/>
    <w:rsid w:val="18EA0ED9"/>
    <w:rsid w:val="18EA2DCC"/>
    <w:rsid w:val="18EA3ECA"/>
    <w:rsid w:val="18F77366"/>
    <w:rsid w:val="19043F56"/>
    <w:rsid w:val="190A2603"/>
    <w:rsid w:val="190A2A0F"/>
    <w:rsid w:val="19117E83"/>
    <w:rsid w:val="19185265"/>
    <w:rsid w:val="19307905"/>
    <w:rsid w:val="193907AA"/>
    <w:rsid w:val="19475296"/>
    <w:rsid w:val="195546AC"/>
    <w:rsid w:val="19586042"/>
    <w:rsid w:val="196D0B34"/>
    <w:rsid w:val="19892A0D"/>
    <w:rsid w:val="19923FAF"/>
    <w:rsid w:val="19993016"/>
    <w:rsid w:val="19A23795"/>
    <w:rsid w:val="19A96921"/>
    <w:rsid w:val="19BE315E"/>
    <w:rsid w:val="19D8381D"/>
    <w:rsid w:val="19FE7C32"/>
    <w:rsid w:val="1A117D5F"/>
    <w:rsid w:val="1A1E392D"/>
    <w:rsid w:val="1A2D0A06"/>
    <w:rsid w:val="1A3443A4"/>
    <w:rsid w:val="1A774A06"/>
    <w:rsid w:val="1A781651"/>
    <w:rsid w:val="1A845425"/>
    <w:rsid w:val="1AA20B66"/>
    <w:rsid w:val="1AAC6CFF"/>
    <w:rsid w:val="1AB026A8"/>
    <w:rsid w:val="1AB10C6D"/>
    <w:rsid w:val="1AB23A71"/>
    <w:rsid w:val="1AD417A9"/>
    <w:rsid w:val="1ADA188C"/>
    <w:rsid w:val="1AE2146F"/>
    <w:rsid w:val="1AF43CBA"/>
    <w:rsid w:val="1B0C6F28"/>
    <w:rsid w:val="1B2B49B5"/>
    <w:rsid w:val="1B472F10"/>
    <w:rsid w:val="1B511623"/>
    <w:rsid w:val="1B627A57"/>
    <w:rsid w:val="1B737E91"/>
    <w:rsid w:val="1B7B4262"/>
    <w:rsid w:val="1B7D4804"/>
    <w:rsid w:val="1B7E5925"/>
    <w:rsid w:val="1B944DF1"/>
    <w:rsid w:val="1B9A5E96"/>
    <w:rsid w:val="1B9C2145"/>
    <w:rsid w:val="1BD4662F"/>
    <w:rsid w:val="1BF03259"/>
    <w:rsid w:val="1C004390"/>
    <w:rsid w:val="1C19503C"/>
    <w:rsid w:val="1C1A3572"/>
    <w:rsid w:val="1C1B3898"/>
    <w:rsid w:val="1C2A5111"/>
    <w:rsid w:val="1C3E7133"/>
    <w:rsid w:val="1C5B3994"/>
    <w:rsid w:val="1C5C7966"/>
    <w:rsid w:val="1C7C54C4"/>
    <w:rsid w:val="1C8935DC"/>
    <w:rsid w:val="1C8A4E0F"/>
    <w:rsid w:val="1CBD641F"/>
    <w:rsid w:val="1CC410C0"/>
    <w:rsid w:val="1CD35F20"/>
    <w:rsid w:val="1CDC3759"/>
    <w:rsid w:val="1CEB14BC"/>
    <w:rsid w:val="1CF32EAA"/>
    <w:rsid w:val="1D0F67CF"/>
    <w:rsid w:val="1D1327C1"/>
    <w:rsid w:val="1D2A06DB"/>
    <w:rsid w:val="1D372934"/>
    <w:rsid w:val="1D3F7434"/>
    <w:rsid w:val="1D664435"/>
    <w:rsid w:val="1D700057"/>
    <w:rsid w:val="1D894314"/>
    <w:rsid w:val="1D8A7724"/>
    <w:rsid w:val="1DA34CB6"/>
    <w:rsid w:val="1DCA6A52"/>
    <w:rsid w:val="1DD2442A"/>
    <w:rsid w:val="1DD63368"/>
    <w:rsid w:val="1DE24BB9"/>
    <w:rsid w:val="1DE7576F"/>
    <w:rsid w:val="1E125A1D"/>
    <w:rsid w:val="1E163FEF"/>
    <w:rsid w:val="1E1D4F6B"/>
    <w:rsid w:val="1E203DFE"/>
    <w:rsid w:val="1E2E6C41"/>
    <w:rsid w:val="1E447E90"/>
    <w:rsid w:val="1E4B1ECC"/>
    <w:rsid w:val="1E505B52"/>
    <w:rsid w:val="1E6016BC"/>
    <w:rsid w:val="1E707E1F"/>
    <w:rsid w:val="1E811588"/>
    <w:rsid w:val="1EB84085"/>
    <w:rsid w:val="1ECE50ED"/>
    <w:rsid w:val="1EDE5726"/>
    <w:rsid w:val="1EE07FD7"/>
    <w:rsid w:val="1EE93F26"/>
    <w:rsid w:val="1F114ADE"/>
    <w:rsid w:val="1F1C40F9"/>
    <w:rsid w:val="1F2940DD"/>
    <w:rsid w:val="1F5D542B"/>
    <w:rsid w:val="1F6C432C"/>
    <w:rsid w:val="1F794B0D"/>
    <w:rsid w:val="1F796934"/>
    <w:rsid w:val="1F7B7097"/>
    <w:rsid w:val="1F7E25C1"/>
    <w:rsid w:val="1F7F3C3D"/>
    <w:rsid w:val="1F870738"/>
    <w:rsid w:val="1F896AAF"/>
    <w:rsid w:val="1FB26D7A"/>
    <w:rsid w:val="1FB4545D"/>
    <w:rsid w:val="1FB97655"/>
    <w:rsid w:val="1FBE51D3"/>
    <w:rsid w:val="1FC448D6"/>
    <w:rsid w:val="1FCE5453"/>
    <w:rsid w:val="1FD1720C"/>
    <w:rsid w:val="1FE85C7A"/>
    <w:rsid w:val="1FF17B82"/>
    <w:rsid w:val="1FF72593"/>
    <w:rsid w:val="2004298B"/>
    <w:rsid w:val="200D1749"/>
    <w:rsid w:val="2014588B"/>
    <w:rsid w:val="201926D3"/>
    <w:rsid w:val="20213339"/>
    <w:rsid w:val="202E2871"/>
    <w:rsid w:val="2068140B"/>
    <w:rsid w:val="20724ECC"/>
    <w:rsid w:val="207C0130"/>
    <w:rsid w:val="20BC53EA"/>
    <w:rsid w:val="20E56795"/>
    <w:rsid w:val="20F4327E"/>
    <w:rsid w:val="212164FD"/>
    <w:rsid w:val="21253C17"/>
    <w:rsid w:val="212668F7"/>
    <w:rsid w:val="213323DA"/>
    <w:rsid w:val="214129DE"/>
    <w:rsid w:val="215465A1"/>
    <w:rsid w:val="217529AE"/>
    <w:rsid w:val="217935F8"/>
    <w:rsid w:val="217F1F0C"/>
    <w:rsid w:val="21966585"/>
    <w:rsid w:val="21AA2E0E"/>
    <w:rsid w:val="21B66ED1"/>
    <w:rsid w:val="21C07A24"/>
    <w:rsid w:val="21C759AA"/>
    <w:rsid w:val="21D05402"/>
    <w:rsid w:val="21D32254"/>
    <w:rsid w:val="21D7250A"/>
    <w:rsid w:val="21DC74BB"/>
    <w:rsid w:val="21F72F81"/>
    <w:rsid w:val="220A47A5"/>
    <w:rsid w:val="220B7F0B"/>
    <w:rsid w:val="22261140"/>
    <w:rsid w:val="223E6F44"/>
    <w:rsid w:val="22440927"/>
    <w:rsid w:val="225F0972"/>
    <w:rsid w:val="2265445B"/>
    <w:rsid w:val="227110B1"/>
    <w:rsid w:val="227202CA"/>
    <w:rsid w:val="229F5621"/>
    <w:rsid w:val="22E508F4"/>
    <w:rsid w:val="22EB0084"/>
    <w:rsid w:val="2301620C"/>
    <w:rsid w:val="23102D83"/>
    <w:rsid w:val="233A2C8F"/>
    <w:rsid w:val="233A7FBF"/>
    <w:rsid w:val="2342407D"/>
    <w:rsid w:val="2343021F"/>
    <w:rsid w:val="235B4660"/>
    <w:rsid w:val="235E2FF6"/>
    <w:rsid w:val="23625956"/>
    <w:rsid w:val="236C40F3"/>
    <w:rsid w:val="23865342"/>
    <w:rsid w:val="23972EB3"/>
    <w:rsid w:val="23A06DCA"/>
    <w:rsid w:val="23A22FEA"/>
    <w:rsid w:val="23A2455D"/>
    <w:rsid w:val="23AD5F81"/>
    <w:rsid w:val="23B50E9E"/>
    <w:rsid w:val="23C26B70"/>
    <w:rsid w:val="23C75A07"/>
    <w:rsid w:val="23C910E0"/>
    <w:rsid w:val="23CF2FFC"/>
    <w:rsid w:val="23DE490E"/>
    <w:rsid w:val="240069B0"/>
    <w:rsid w:val="24054A8B"/>
    <w:rsid w:val="241412F8"/>
    <w:rsid w:val="24150DD1"/>
    <w:rsid w:val="24164E6C"/>
    <w:rsid w:val="24166B73"/>
    <w:rsid w:val="241712E1"/>
    <w:rsid w:val="24231373"/>
    <w:rsid w:val="2426102C"/>
    <w:rsid w:val="243135BD"/>
    <w:rsid w:val="244504A7"/>
    <w:rsid w:val="245E2574"/>
    <w:rsid w:val="248B2533"/>
    <w:rsid w:val="24952D55"/>
    <w:rsid w:val="24970F23"/>
    <w:rsid w:val="24BC5BEB"/>
    <w:rsid w:val="24BE3283"/>
    <w:rsid w:val="24C06A8D"/>
    <w:rsid w:val="24C80BA6"/>
    <w:rsid w:val="24CB0C83"/>
    <w:rsid w:val="24ED06BF"/>
    <w:rsid w:val="24EE61DE"/>
    <w:rsid w:val="24F26BBE"/>
    <w:rsid w:val="25016CD9"/>
    <w:rsid w:val="250C0222"/>
    <w:rsid w:val="250D52A2"/>
    <w:rsid w:val="251026CF"/>
    <w:rsid w:val="251C114D"/>
    <w:rsid w:val="25210503"/>
    <w:rsid w:val="25312168"/>
    <w:rsid w:val="25390C24"/>
    <w:rsid w:val="25827710"/>
    <w:rsid w:val="25850D4D"/>
    <w:rsid w:val="25B05110"/>
    <w:rsid w:val="25D10BEC"/>
    <w:rsid w:val="25D502AF"/>
    <w:rsid w:val="25D975F8"/>
    <w:rsid w:val="25E10201"/>
    <w:rsid w:val="25E73D71"/>
    <w:rsid w:val="260061DE"/>
    <w:rsid w:val="2608643D"/>
    <w:rsid w:val="2639161A"/>
    <w:rsid w:val="2645187D"/>
    <w:rsid w:val="26646393"/>
    <w:rsid w:val="267849AE"/>
    <w:rsid w:val="26897CF1"/>
    <w:rsid w:val="26902EE7"/>
    <w:rsid w:val="26AD5D32"/>
    <w:rsid w:val="26B14F60"/>
    <w:rsid w:val="26D44EB0"/>
    <w:rsid w:val="26E22985"/>
    <w:rsid w:val="26EA1676"/>
    <w:rsid w:val="26F97262"/>
    <w:rsid w:val="270A5EF4"/>
    <w:rsid w:val="27202D8F"/>
    <w:rsid w:val="27343A7F"/>
    <w:rsid w:val="274222EF"/>
    <w:rsid w:val="2759643A"/>
    <w:rsid w:val="277638D4"/>
    <w:rsid w:val="27A751DB"/>
    <w:rsid w:val="27B66529"/>
    <w:rsid w:val="27C84DCA"/>
    <w:rsid w:val="27D30F35"/>
    <w:rsid w:val="27F46DD2"/>
    <w:rsid w:val="27F73C9B"/>
    <w:rsid w:val="27F92E18"/>
    <w:rsid w:val="28005286"/>
    <w:rsid w:val="282B0137"/>
    <w:rsid w:val="282F4953"/>
    <w:rsid w:val="28393372"/>
    <w:rsid w:val="2857182A"/>
    <w:rsid w:val="28593F08"/>
    <w:rsid w:val="285C0532"/>
    <w:rsid w:val="285E73AF"/>
    <w:rsid w:val="285F052F"/>
    <w:rsid w:val="28637AD1"/>
    <w:rsid w:val="28776285"/>
    <w:rsid w:val="28866634"/>
    <w:rsid w:val="28A2699D"/>
    <w:rsid w:val="28A50BFE"/>
    <w:rsid w:val="28C9290C"/>
    <w:rsid w:val="28DE0EF5"/>
    <w:rsid w:val="2900219D"/>
    <w:rsid w:val="291E129A"/>
    <w:rsid w:val="292A4BAD"/>
    <w:rsid w:val="29312A58"/>
    <w:rsid w:val="295A2CEE"/>
    <w:rsid w:val="2972285F"/>
    <w:rsid w:val="297C186E"/>
    <w:rsid w:val="29827658"/>
    <w:rsid w:val="29876594"/>
    <w:rsid w:val="298A102B"/>
    <w:rsid w:val="29970690"/>
    <w:rsid w:val="2998057B"/>
    <w:rsid w:val="299D5792"/>
    <w:rsid w:val="29A07FBB"/>
    <w:rsid w:val="29A874A6"/>
    <w:rsid w:val="29AF561F"/>
    <w:rsid w:val="29B6184B"/>
    <w:rsid w:val="29CF7D9C"/>
    <w:rsid w:val="29D44C42"/>
    <w:rsid w:val="29EC5C5F"/>
    <w:rsid w:val="29F01A7B"/>
    <w:rsid w:val="29F81326"/>
    <w:rsid w:val="2A0665DC"/>
    <w:rsid w:val="2A0B7CE0"/>
    <w:rsid w:val="2A0E53D1"/>
    <w:rsid w:val="2A101532"/>
    <w:rsid w:val="2A183012"/>
    <w:rsid w:val="2A393F04"/>
    <w:rsid w:val="2A407DC1"/>
    <w:rsid w:val="2A432935"/>
    <w:rsid w:val="2A5D239E"/>
    <w:rsid w:val="2A7F321F"/>
    <w:rsid w:val="2A86597C"/>
    <w:rsid w:val="2AA51ECD"/>
    <w:rsid w:val="2AD74537"/>
    <w:rsid w:val="2AEC31FC"/>
    <w:rsid w:val="2B2901A0"/>
    <w:rsid w:val="2B3E7739"/>
    <w:rsid w:val="2B4926E6"/>
    <w:rsid w:val="2B6353A8"/>
    <w:rsid w:val="2B70138A"/>
    <w:rsid w:val="2B704359"/>
    <w:rsid w:val="2B7A5C90"/>
    <w:rsid w:val="2B7F355F"/>
    <w:rsid w:val="2BE36EBD"/>
    <w:rsid w:val="2BF3143F"/>
    <w:rsid w:val="2BF62078"/>
    <w:rsid w:val="2C041C52"/>
    <w:rsid w:val="2C1024C9"/>
    <w:rsid w:val="2C271634"/>
    <w:rsid w:val="2C343E76"/>
    <w:rsid w:val="2C3A1B18"/>
    <w:rsid w:val="2C4358BC"/>
    <w:rsid w:val="2C4A2040"/>
    <w:rsid w:val="2C567877"/>
    <w:rsid w:val="2C631A23"/>
    <w:rsid w:val="2C930574"/>
    <w:rsid w:val="2CA6211E"/>
    <w:rsid w:val="2CB26CF6"/>
    <w:rsid w:val="2CB461CE"/>
    <w:rsid w:val="2CBA0C55"/>
    <w:rsid w:val="2CBE7342"/>
    <w:rsid w:val="2CD65E1E"/>
    <w:rsid w:val="2CE62E73"/>
    <w:rsid w:val="2D0C1010"/>
    <w:rsid w:val="2D407802"/>
    <w:rsid w:val="2D547D4F"/>
    <w:rsid w:val="2D586FF8"/>
    <w:rsid w:val="2D7209B6"/>
    <w:rsid w:val="2D74105A"/>
    <w:rsid w:val="2D7C54CE"/>
    <w:rsid w:val="2D9426F1"/>
    <w:rsid w:val="2DA46CF8"/>
    <w:rsid w:val="2DAA2941"/>
    <w:rsid w:val="2DBF2E79"/>
    <w:rsid w:val="2DC46781"/>
    <w:rsid w:val="2DDB286C"/>
    <w:rsid w:val="2DDD7E0A"/>
    <w:rsid w:val="2E0E3A85"/>
    <w:rsid w:val="2E156BCA"/>
    <w:rsid w:val="2E175983"/>
    <w:rsid w:val="2E21415F"/>
    <w:rsid w:val="2E261FDE"/>
    <w:rsid w:val="2E2A0415"/>
    <w:rsid w:val="2E486F4F"/>
    <w:rsid w:val="2E4B692B"/>
    <w:rsid w:val="2E586865"/>
    <w:rsid w:val="2E5A09A4"/>
    <w:rsid w:val="2E651BDF"/>
    <w:rsid w:val="2E680B88"/>
    <w:rsid w:val="2E751B09"/>
    <w:rsid w:val="2E787A02"/>
    <w:rsid w:val="2E7F12B0"/>
    <w:rsid w:val="2E9B3286"/>
    <w:rsid w:val="2EA01EA2"/>
    <w:rsid w:val="2EA24E57"/>
    <w:rsid w:val="2EA91EA2"/>
    <w:rsid w:val="2EAD4B41"/>
    <w:rsid w:val="2EBF5C85"/>
    <w:rsid w:val="2EC91AD3"/>
    <w:rsid w:val="2ECE6548"/>
    <w:rsid w:val="2ED042EA"/>
    <w:rsid w:val="2ED55394"/>
    <w:rsid w:val="2EDF0755"/>
    <w:rsid w:val="2EED4C20"/>
    <w:rsid w:val="2EF1417E"/>
    <w:rsid w:val="2EF35FAE"/>
    <w:rsid w:val="2F081D48"/>
    <w:rsid w:val="2F212B1B"/>
    <w:rsid w:val="2F276865"/>
    <w:rsid w:val="2F281227"/>
    <w:rsid w:val="2F301B03"/>
    <w:rsid w:val="2F3768A5"/>
    <w:rsid w:val="2F4D5FD3"/>
    <w:rsid w:val="2F547D86"/>
    <w:rsid w:val="2F58069B"/>
    <w:rsid w:val="2F5C4A18"/>
    <w:rsid w:val="2F9653DD"/>
    <w:rsid w:val="2F9C1BB1"/>
    <w:rsid w:val="2FA20DA2"/>
    <w:rsid w:val="2FA72228"/>
    <w:rsid w:val="2FBF57ED"/>
    <w:rsid w:val="2FC11C09"/>
    <w:rsid w:val="2FC5743A"/>
    <w:rsid w:val="2FE278FF"/>
    <w:rsid w:val="2FED1201"/>
    <w:rsid w:val="2FFB0FF9"/>
    <w:rsid w:val="302429E0"/>
    <w:rsid w:val="30644818"/>
    <w:rsid w:val="30780EED"/>
    <w:rsid w:val="30862FCF"/>
    <w:rsid w:val="30923711"/>
    <w:rsid w:val="309A6EE3"/>
    <w:rsid w:val="309B6C12"/>
    <w:rsid w:val="30B769E8"/>
    <w:rsid w:val="30C322B8"/>
    <w:rsid w:val="30D065A7"/>
    <w:rsid w:val="30DC0D64"/>
    <w:rsid w:val="30DF08C4"/>
    <w:rsid w:val="30EC733C"/>
    <w:rsid w:val="30ED1CA1"/>
    <w:rsid w:val="30F10E57"/>
    <w:rsid w:val="30FE6A2E"/>
    <w:rsid w:val="31061969"/>
    <w:rsid w:val="31104BF5"/>
    <w:rsid w:val="31290D59"/>
    <w:rsid w:val="313F1C77"/>
    <w:rsid w:val="314B5435"/>
    <w:rsid w:val="31537102"/>
    <w:rsid w:val="315C6960"/>
    <w:rsid w:val="316E5C5A"/>
    <w:rsid w:val="317F2891"/>
    <w:rsid w:val="31AA504A"/>
    <w:rsid w:val="31CB317E"/>
    <w:rsid w:val="31D334FB"/>
    <w:rsid w:val="31DF4AA4"/>
    <w:rsid w:val="31E26DFA"/>
    <w:rsid w:val="31F43E78"/>
    <w:rsid w:val="31FC5AD0"/>
    <w:rsid w:val="31FD13A6"/>
    <w:rsid w:val="320530E9"/>
    <w:rsid w:val="32565B84"/>
    <w:rsid w:val="326360C2"/>
    <w:rsid w:val="32786EF6"/>
    <w:rsid w:val="328B545B"/>
    <w:rsid w:val="32B53CA7"/>
    <w:rsid w:val="32D21339"/>
    <w:rsid w:val="32D625E6"/>
    <w:rsid w:val="32D676A4"/>
    <w:rsid w:val="32EB3B6C"/>
    <w:rsid w:val="32F015CD"/>
    <w:rsid w:val="32F25EF0"/>
    <w:rsid w:val="3303472B"/>
    <w:rsid w:val="331B0911"/>
    <w:rsid w:val="331E6198"/>
    <w:rsid w:val="33300210"/>
    <w:rsid w:val="33305915"/>
    <w:rsid w:val="335B1D23"/>
    <w:rsid w:val="336C76BA"/>
    <w:rsid w:val="336D0461"/>
    <w:rsid w:val="336D1797"/>
    <w:rsid w:val="336E25D2"/>
    <w:rsid w:val="337A771C"/>
    <w:rsid w:val="337B4D21"/>
    <w:rsid w:val="338C06A9"/>
    <w:rsid w:val="33A81970"/>
    <w:rsid w:val="33B91D63"/>
    <w:rsid w:val="33D70A2C"/>
    <w:rsid w:val="33D76A9A"/>
    <w:rsid w:val="33EB13FE"/>
    <w:rsid w:val="33F75A93"/>
    <w:rsid w:val="34113E36"/>
    <w:rsid w:val="34152CB2"/>
    <w:rsid w:val="3420568E"/>
    <w:rsid w:val="3453534D"/>
    <w:rsid w:val="345E7FBA"/>
    <w:rsid w:val="34621E33"/>
    <w:rsid w:val="34626BB3"/>
    <w:rsid w:val="346B5CE1"/>
    <w:rsid w:val="347D44BE"/>
    <w:rsid w:val="349C1AA5"/>
    <w:rsid w:val="34CC5880"/>
    <w:rsid w:val="34D1157D"/>
    <w:rsid w:val="34E8136B"/>
    <w:rsid w:val="34EE1786"/>
    <w:rsid w:val="3510319B"/>
    <w:rsid w:val="351337C8"/>
    <w:rsid w:val="35196CA6"/>
    <w:rsid w:val="35215C32"/>
    <w:rsid w:val="352421DE"/>
    <w:rsid w:val="353A66E5"/>
    <w:rsid w:val="353E5F60"/>
    <w:rsid w:val="35417846"/>
    <w:rsid w:val="354779CC"/>
    <w:rsid w:val="354A3BAB"/>
    <w:rsid w:val="3563459D"/>
    <w:rsid w:val="35696CAE"/>
    <w:rsid w:val="357A20C9"/>
    <w:rsid w:val="35816B04"/>
    <w:rsid w:val="358C3A59"/>
    <w:rsid w:val="358C7E03"/>
    <w:rsid w:val="35D72186"/>
    <w:rsid w:val="35DA3FBC"/>
    <w:rsid w:val="35DC0CE6"/>
    <w:rsid w:val="35DD5120"/>
    <w:rsid w:val="35EE12BB"/>
    <w:rsid w:val="35FE600A"/>
    <w:rsid w:val="36292184"/>
    <w:rsid w:val="36452477"/>
    <w:rsid w:val="36486BE0"/>
    <w:rsid w:val="364C5F0B"/>
    <w:rsid w:val="364F61C0"/>
    <w:rsid w:val="36517C8A"/>
    <w:rsid w:val="36544D75"/>
    <w:rsid w:val="367F10AE"/>
    <w:rsid w:val="369B7792"/>
    <w:rsid w:val="36B1617E"/>
    <w:rsid w:val="36C62A85"/>
    <w:rsid w:val="36C97E37"/>
    <w:rsid w:val="36CC4A4E"/>
    <w:rsid w:val="36DC0354"/>
    <w:rsid w:val="36DF7544"/>
    <w:rsid w:val="36E529CE"/>
    <w:rsid w:val="36E70DF7"/>
    <w:rsid w:val="36EA25B1"/>
    <w:rsid w:val="370879F7"/>
    <w:rsid w:val="37275770"/>
    <w:rsid w:val="37275CEC"/>
    <w:rsid w:val="374A6ACA"/>
    <w:rsid w:val="376346F4"/>
    <w:rsid w:val="37915191"/>
    <w:rsid w:val="37955CDB"/>
    <w:rsid w:val="379F532F"/>
    <w:rsid w:val="37A84F9B"/>
    <w:rsid w:val="37A876C9"/>
    <w:rsid w:val="37CA42F3"/>
    <w:rsid w:val="37CC35B4"/>
    <w:rsid w:val="37EA47A9"/>
    <w:rsid w:val="37ED47D3"/>
    <w:rsid w:val="37ED5C91"/>
    <w:rsid w:val="37F17B49"/>
    <w:rsid w:val="38064218"/>
    <w:rsid w:val="38184E58"/>
    <w:rsid w:val="381F05F3"/>
    <w:rsid w:val="38265C43"/>
    <w:rsid w:val="3840421E"/>
    <w:rsid w:val="384E76FE"/>
    <w:rsid w:val="38531595"/>
    <w:rsid w:val="38635F53"/>
    <w:rsid w:val="38772EC0"/>
    <w:rsid w:val="387A674C"/>
    <w:rsid w:val="387A6999"/>
    <w:rsid w:val="38801FAB"/>
    <w:rsid w:val="388303A3"/>
    <w:rsid w:val="38845FF6"/>
    <w:rsid w:val="38893992"/>
    <w:rsid w:val="38A0229D"/>
    <w:rsid w:val="38A10FF3"/>
    <w:rsid w:val="38B87D35"/>
    <w:rsid w:val="38BD0902"/>
    <w:rsid w:val="38D64BBC"/>
    <w:rsid w:val="38D77E77"/>
    <w:rsid w:val="38EB349B"/>
    <w:rsid w:val="3911334D"/>
    <w:rsid w:val="391833AC"/>
    <w:rsid w:val="391A3077"/>
    <w:rsid w:val="391E163A"/>
    <w:rsid w:val="39267B96"/>
    <w:rsid w:val="392E238D"/>
    <w:rsid w:val="39335D05"/>
    <w:rsid w:val="393D7D36"/>
    <w:rsid w:val="395550B5"/>
    <w:rsid w:val="39604EE0"/>
    <w:rsid w:val="3977158C"/>
    <w:rsid w:val="397A6045"/>
    <w:rsid w:val="397B1AF7"/>
    <w:rsid w:val="39843BAC"/>
    <w:rsid w:val="398B67CE"/>
    <w:rsid w:val="39993945"/>
    <w:rsid w:val="39AB6EFE"/>
    <w:rsid w:val="39B3557F"/>
    <w:rsid w:val="39C1313D"/>
    <w:rsid w:val="39D91C91"/>
    <w:rsid w:val="39E7290D"/>
    <w:rsid w:val="39FC4C6E"/>
    <w:rsid w:val="39FE15E9"/>
    <w:rsid w:val="3A066E24"/>
    <w:rsid w:val="3A081499"/>
    <w:rsid w:val="3A0C5B95"/>
    <w:rsid w:val="3A1A4121"/>
    <w:rsid w:val="3A1D065C"/>
    <w:rsid w:val="3A4E789B"/>
    <w:rsid w:val="3A733C4A"/>
    <w:rsid w:val="3A7A2D14"/>
    <w:rsid w:val="3A865A8B"/>
    <w:rsid w:val="3A88416F"/>
    <w:rsid w:val="3AA604AB"/>
    <w:rsid w:val="3AAA5EFE"/>
    <w:rsid w:val="3AAB4FB4"/>
    <w:rsid w:val="3AB326ED"/>
    <w:rsid w:val="3ABD1B51"/>
    <w:rsid w:val="3ABD4EE0"/>
    <w:rsid w:val="3AD223D4"/>
    <w:rsid w:val="3ADB354B"/>
    <w:rsid w:val="3ADB537D"/>
    <w:rsid w:val="3B070D10"/>
    <w:rsid w:val="3B2A700A"/>
    <w:rsid w:val="3B451F2A"/>
    <w:rsid w:val="3B690E4C"/>
    <w:rsid w:val="3B811213"/>
    <w:rsid w:val="3B9B5940"/>
    <w:rsid w:val="3BAC2639"/>
    <w:rsid w:val="3BAE284F"/>
    <w:rsid w:val="3BAF110A"/>
    <w:rsid w:val="3BB4207E"/>
    <w:rsid w:val="3BD62289"/>
    <w:rsid w:val="3BE2769A"/>
    <w:rsid w:val="3C01013C"/>
    <w:rsid w:val="3C272C60"/>
    <w:rsid w:val="3C317FEF"/>
    <w:rsid w:val="3C430575"/>
    <w:rsid w:val="3C4445C6"/>
    <w:rsid w:val="3C47578E"/>
    <w:rsid w:val="3C555D25"/>
    <w:rsid w:val="3C6072A4"/>
    <w:rsid w:val="3C80686C"/>
    <w:rsid w:val="3C8B3D6B"/>
    <w:rsid w:val="3C9E52A1"/>
    <w:rsid w:val="3CA750AB"/>
    <w:rsid w:val="3CB90D39"/>
    <w:rsid w:val="3CCD2C39"/>
    <w:rsid w:val="3CD1142C"/>
    <w:rsid w:val="3CEA17DF"/>
    <w:rsid w:val="3D05582A"/>
    <w:rsid w:val="3D35339D"/>
    <w:rsid w:val="3D392073"/>
    <w:rsid w:val="3D401F17"/>
    <w:rsid w:val="3D5A78DF"/>
    <w:rsid w:val="3D701786"/>
    <w:rsid w:val="3D8447BB"/>
    <w:rsid w:val="3D8B2BB0"/>
    <w:rsid w:val="3D98728B"/>
    <w:rsid w:val="3D9F6D31"/>
    <w:rsid w:val="3DA0131C"/>
    <w:rsid w:val="3DBB3423"/>
    <w:rsid w:val="3DBB57A6"/>
    <w:rsid w:val="3DC43AFE"/>
    <w:rsid w:val="3E0979F6"/>
    <w:rsid w:val="3E0B19AB"/>
    <w:rsid w:val="3E236C3F"/>
    <w:rsid w:val="3E2A0095"/>
    <w:rsid w:val="3E2F0364"/>
    <w:rsid w:val="3E410AE4"/>
    <w:rsid w:val="3E4B2AFA"/>
    <w:rsid w:val="3E55131B"/>
    <w:rsid w:val="3E594080"/>
    <w:rsid w:val="3E6D2FF6"/>
    <w:rsid w:val="3E7E7F41"/>
    <w:rsid w:val="3E882339"/>
    <w:rsid w:val="3E895847"/>
    <w:rsid w:val="3E936D05"/>
    <w:rsid w:val="3E95403A"/>
    <w:rsid w:val="3E9B4698"/>
    <w:rsid w:val="3E9F47F9"/>
    <w:rsid w:val="3EC66809"/>
    <w:rsid w:val="3ED30A0A"/>
    <w:rsid w:val="3ED84F6F"/>
    <w:rsid w:val="3EF62C0C"/>
    <w:rsid w:val="3EFC1552"/>
    <w:rsid w:val="3F0349FD"/>
    <w:rsid w:val="3F1D4124"/>
    <w:rsid w:val="3F6C6095"/>
    <w:rsid w:val="3F6E3B5B"/>
    <w:rsid w:val="3FD42594"/>
    <w:rsid w:val="3FDA3331"/>
    <w:rsid w:val="3FE710D9"/>
    <w:rsid w:val="4000375C"/>
    <w:rsid w:val="400F78C3"/>
    <w:rsid w:val="401F00E5"/>
    <w:rsid w:val="402330CA"/>
    <w:rsid w:val="40234B07"/>
    <w:rsid w:val="402D700F"/>
    <w:rsid w:val="40312813"/>
    <w:rsid w:val="40403B13"/>
    <w:rsid w:val="4060308C"/>
    <w:rsid w:val="406A71F2"/>
    <w:rsid w:val="407231D7"/>
    <w:rsid w:val="407C28E2"/>
    <w:rsid w:val="4081176B"/>
    <w:rsid w:val="408E7799"/>
    <w:rsid w:val="409373FE"/>
    <w:rsid w:val="40AF44F8"/>
    <w:rsid w:val="40B368A9"/>
    <w:rsid w:val="40CC649A"/>
    <w:rsid w:val="40E10D7D"/>
    <w:rsid w:val="40E77122"/>
    <w:rsid w:val="40F51494"/>
    <w:rsid w:val="41022A3B"/>
    <w:rsid w:val="41024982"/>
    <w:rsid w:val="410D4CAE"/>
    <w:rsid w:val="41230F1E"/>
    <w:rsid w:val="413D6B34"/>
    <w:rsid w:val="413F667E"/>
    <w:rsid w:val="414735D2"/>
    <w:rsid w:val="41475480"/>
    <w:rsid w:val="414C7ECC"/>
    <w:rsid w:val="414F3B9B"/>
    <w:rsid w:val="416D48C3"/>
    <w:rsid w:val="416E3A3A"/>
    <w:rsid w:val="41720662"/>
    <w:rsid w:val="41763099"/>
    <w:rsid w:val="418421EA"/>
    <w:rsid w:val="418C3BAD"/>
    <w:rsid w:val="41907433"/>
    <w:rsid w:val="41976842"/>
    <w:rsid w:val="419B1038"/>
    <w:rsid w:val="419C02A9"/>
    <w:rsid w:val="419D0320"/>
    <w:rsid w:val="41A37200"/>
    <w:rsid w:val="41A53686"/>
    <w:rsid w:val="41B04D74"/>
    <w:rsid w:val="41B756F2"/>
    <w:rsid w:val="41B763B4"/>
    <w:rsid w:val="41CC60C0"/>
    <w:rsid w:val="41CD3AA0"/>
    <w:rsid w:val="41DB1745"/>
    <w:rsid w:val="41DE2207"/>
    <w:rsid w:val="41E45401"/>
    <w:rsid w:val="41E56E6B"/>
    <w:rsid w:val="41EF5929"/>
    <w:rsid w:val="424A571A"/>
    <w:rsid w:val="425734AF"/>
    <w:rsid w:val="425A266B"/>
    <w:rsid w:val="428E4C0B"/>
    <w:rsid w:val="42A64ECB"/>
    <w:rsid w:val="42AC28A9"/>
    <w:rsid w:val="42B277B9"/>
    <w:rsid w:val="42B47006"/>
    <w:rsid w:val="42D604F9"/>
    <w:rsid w:val="42E20039"/>
    <w:rsid w:val="42EA0166"/>
    <w:rsid w:val="42FC2387"/>
    <w:rsid w:val="43107025"/>
    <w:rsid w:val="43137C0F"/>
    <w:rsid w:val="431A0B92"/>
    <w:rsid w:val="4324493A"/>
    <w:rsid w:val="433C1C83"/>
    <w:rsid w:val="434D4574"/>
    <w:rsid w:val="43724390"/>
    <w:rsid w:val="438278B3"/>
    <w:rsid w:val="439676C0"/>
    <w:rsid w:val="439935D3"/>
    <w:rsid w:val="43A75666"/>
    <w:rsid w:val="43A75E09"/>
    <w:rsid w:val="43AA2DB5"/>
    <w:rsid w:val="43AF09F4"/>
    <w:rsid w:val="43B008D9"/>
    <w:rsid w:val="43CC36D0"/>
    <w:rsid w:val="43DF50D7"/>
    <w:rsid w:val="43E53B46"/>
    <w:rsid w:val="43EA7612"/>
    <w:rsid w:val="43EC4951"/>
    <w:rsid w:val="43F32881"/>
    <w:rsid w:val="44022A20"/>
    <w:rsid w:val="441958C5"/>
    <w:rsid w:val="44243FF8"/>
    <w:rsid w:val="4430091B"/>
    <w:rsid w:val="444D049C"/>
    <w:rsid w:val="445618D3"/>
    <w:rsid w:val="44760985"/>
    <w:rsid w:val="44774A03"/>
    <w:rsid w:val="44860CB1"/>
    <w:rsid w:val="448D7C75"/>
    <w:rsid w:val="448E1D3C"/>
    <w:rsid w:val="44912362"/>
    <w:rsid w:val="449C3C3B"/>
    <w:rsid w:val="44A21536"/>
    <w:rsid w:val="44A54480"/>
    <w:rsid w:val="44B41C06"/>
    <w:rsid w:val="44B75B3E"/>
    <w:rsid w:val="44B8308F"/>
    <w:rsid w:val="44C014CC"/>
    <w:rsid w:val="44D35BBF"/>
    <w:rsid w:val="44D95672"/>
    <w:rsid w:val="44DD1D25"/>
    <w:rsid w:val="44EE7AAD"/>
    <w:rsid w:val="44F37D95"/>
    <w:rsid w:val="450005F6"/>
    <w:rsid w:val="451F729A"/>
    <w:rsid w:val="452B3D64"/>
    <w:rsid w:val="452E59D7"/>
    <w:rsid w:val="45315D39"/>
    <w:rsid w:val="453628DC"/>
    <w:rsid w:val="45437331"/>
    <w:rsid w:val="454535AB"/>
    <w:rsid w:val="454A6875"/>
    <w:rsid w:val="4558690A"/>
    <w:rsid w:val="456C7773"/>
    <w:rsid w:val="45731BEC"/>
    <w:rsid w:val="4576716E"/>
    <w:rsid w:val="457D7A00"/>
    <w:rsid w:val="45912A76"/>
    <w:rsid w:val="45A574C9"/>
    <w:rsid w:val="45A91587"/>
    <w:rsid w:val="45C83899"/>
    <w:rsid w:val="45E97941"/>
    <w:rsid w:val="45F42DE9"/>
    <w:rsid w:val="45F876AA"/>
    <w:rsid w:val="46005650"/>
    <w:rsid w:val="46250D2F"/>
    <w:rsid w:val="46291862"/>
    <w:rsid w:val="464854AD"/>
    <w:rsid w:val="464C44CE"/>
    <w:rsid w:val="46553B15"/>
    <w:rsid w:val="46686795"/>
    <w:rsid w:val="4673024B"/>
    <w:rsid w:val="4678243C"/>
    <w:rsid w:val="4684779D"/>
    <w:rsid w:val="468A6FE5"/>
    <w:rsid w:val="468E04CA"/>
    <w:rsid w:val="469A3487"/>
    <w:rsid w:val="46B46306"/>
    <w:rsid w:val="46CB7E8B"/>
    <w:rsid w:val="46E36F1F"/>
    <w:rsid w:val="46F817A9"/>
    <w:rsid w:val="47030867"/>
    <w:rsid w:val="471D1614"/>
    <w:rsid w:val="4721425A"/>
    <w:rsid w:val="472B7007"/>
    <w:rsid w:val="473E29B0"/>
    <w:rsid w:val="47483C46"/>
    <w:rsid w:val="474B0C35"/>
    <w:rsid w:val="474B6541"/>
    <w:rsid w:val="476B46AB"/>
    <w:rsid w:val="479043B1"/>
    <w:rsid w:val="47926A9E"/>
    <w:rsid w:val="47960618"/>
    <w:rsid w:val="47A66166"/>
    <w:rsid w:val="47CA5D1F"/>
    <w:rsid w:val="47D21B3C"/>
    <w:rsid w:val="48157611"/>
    <w:rsid w:val="481848E4"/>
    <w:rsid w:val="482E37B6"/>
    <w:rsid w:val="484B2199"/>
    <w:rsid w:val="486024AF"/>
    <w:rsid w:val="486B1C1A"/>
    <w:rsid w:val="4886515B"/>
    <w:rsid w:val="48957E8F"/>
    <w:rsid w:val="48A810EA"/>
    <w:rsid w:val="48B15AE4"/>
    <w:rsid w:val="48B675E1"/>
    <w:rsid w:val="48BB7CF0"/>
    <w:rsid w:val="48D30AB2"/>
    <w:rsid w:val="48D8749B"/>
    <w:rsid w:val="48D93A5E"/>
    <w:rsid w:val="48FE2633"/>
    <w:rsid w:val="48FF512B"/>
    <w:rsid w:val="49130864"/>
    <w:rsid w:val="491C5F6E"/>
    <w:rsid w:val="4925566C"/>
    <w:rsid w:val="492D1EFA"/>
    <w:rsid w:val="493512C3"/>
    <w:rsid w:val="493B0FEB"/>
    <w:rsid w:val="493B2177"/>
    <w:rsid w:val="49421B18"/>
    <w:rsid w:val="494509EF"/>
    <w:rsid w:val="496F6201"/>
    <w:rsid w:val="497132B7"/>
    <w:rsid w:val="4975799A"/>
    <w:rsid w:val="498E7A94"/>
    <w:rsid w:val="49951096"/>
    <w:rsid w:val="499A6763"/>
    <w:rsid w:val="499D0253"/>
    <w:rsid w:val="49A07007"/>
    <w:rsid w:val="49B075B1"/>
    <w:rsid w:val="49B75F10"/>
    <w:rsid w:val="49CE1FED"/>
    <w:rsid w:val="49E65F47"/>
    <w:rsid w:val="49EE295C"/>
    <w:rsid w:val="49EF4E7F"/>
    <w:rsid w:val="49F90A87"/>
    <w:rsid w:val="4A0F5FCA"/>
    <w:rsid w:val="4A1067FE"/>
    <w:rsid w:val="4A1E2EEF"/>
    <w:rsid w:val="4A526E81"/>
    <w:rsid w:val="4A56548E"/>
    <w:rsid w:val="4AA30A1F"/>
    <w:rsid w:val="4ACC7988"/>
    <w:rsid w:val="4AF06003"/>
    <w:rsid w:val="4AFA09C5"/>
    <w:rsid w:val="4B081C49"/>
    <w:rsid w:val="4B1306F3"/>
    <w:rsid w:val="4B147A52"/>
    <w:rsid w:val="4B172628"/>
    <w:rsid w:val="4B233894"/>
    <w:rsid w:val="4B316C45"/>
    <w:rsid w:val="4B323FB0"/>
    <w:rsid w:val="4B364A28"/>
    <w:rsid w:val="4B5E4FE9"/>
    <w:rsid w:val="4B6D283B"/>
    <w:rsid w:val="4B700C5B"/>
    <w:rsid w:val="4B726031"/>
    <w:rsid w:val="4B841FD4"/>
    <w:rsid w:val="4B8D1994"/>
    <w:rsid w:val="4B9E6CFB"/>
    <w:rsid w:val="4BC90D24"/>
    <w:rsid w:val="4BD977E6"/>
    <w:rsid w:val="4BF11610"/>
    <w:rsid w:val="4C0213EC"/>
    <w:rsid w:val="4C0A38A1"/>
    <w:rsid w:val="4C0F4245"/>
    <w:rsid w:val="4C12584B"/>
    <w:rsid w:val="4C147838"/>
    <w:rsid w:val="4C1A52CB"/>
    <w:rsid w:val="4C243539"/>
    <w:rsid w:val="4C3551DC"/>
    <w:rsid w:val="4C3D55CE"/>
    <w:rsid w:val="4C4D2EBA"/>
    <w:rsid w:val="4C506371"/>
    <w:rsid w:val="4C565C01"/>
    <w:rsid w:val="4C5F4908"/>
    <w:rsid w:val="4C703F80"/>
    <w:rsid w:val="4C806AE0"/>
    <w:rsid w:val="4C813752"/>
    <w:rsid w:val="4C814F83"/>
    <w:rsid w:val="4C865CE1"/>
    <w:rsid w:val="4C8F40EC"/>
    <w:rsid w:val="4C9143AE"/>
    <w:rsid w:val="4C933FD5"/>
    <w:rsid w:val="4CA461C1"/>
    <w:rsid w:val="4CAD37F7"/>
    <w:rsid w:val="4CAF77A7"/>
    <w:rsid w:val="4CB91421"/>
    <w:rsid w:val="4CC949FA"/>
    <w:rsid w:val="4CCD2EA6"/>
    <w:rsid w:val="4CD37E1D"/>
    <w:rsid w:val="4CE12E47"/>
    <w:rsid w:val="4CF22667"/>
    <w:rsid w:val="4CF34229"/>
    <w:rsid w:val="4CFE5739"/>
    <w:rsid w:val="4D00728C"/>
    <w:rsid w:val="4D0D119C"/>
    <w:rsid w:val="4D132C7E"/>
    <w:rsid w:val="4D15563E"/>
    <w:rsid w:val="4D156FA3"/>
    <w:rsid w:val="4D270844"/>
    <w:rsid w:val="4D355CB8"/>
    <w:rsid w:val="4D4A1EC5"/>
    <w:rsid w:val="4D4E7320"/>
    <w:rsid w:val="4D61085B"/>
    <w:rsid w:val="4D6806C9"/>
    <w:rsid w:val="4D77587C"/>
    <w:rsid w:val="4D860636"/>
    <w:rsid w:val="4D8D0FAD"/>
    <w:rsid w:val="4DA8729C"/>
    <w:rsid w:val="4DAB04B4"/>
    <w:rsid w:val="4DAE4CB7"/>
    <w:rsid w:val="4DC550AC"/>
    <w:rsid w:val="4DC661D9"/>
    <w:rsid w:val="4DE53DB4"/>
    <w:rsid w:val="4DF12504"/>
    <w:rsid w:val="4E133251"/>
    <w:rsid w:val="4E1A6269"/>
    <w:rsid w:val="4E3370EE"/>
    <w:rsid w:val="4E352C49"/>
    <w:rsid w:val="4E46216B"/>
    <w:rsid w:val="4E4A14DC"/>
    <w:rsid w:val="4E6C1CC2"/>
    <w:rsid w:val="4E6E03A0"/>
    <w:rsid w:val="4E6F66D0"/>
    <w:rsid w:val="4E8255D6"/>
    <w:rsid w:val="4E86076B"/>
    <w:rsid w:val="4E8776BA"/>
    <w:rsid w:val="4E944C60"/>
    <w:rsid w:val="4EB54236"/>
    <w:rsid w:val="4EBA30BC"/>
    <w:rsid w:val="4EBE4099"/>
    <w:rsid w:val="4EC340EE"/>
    <w:rsid w:val="4EC51DAB"/>
    <w:rsid w:val="4EC64241"/>
    <w:rsid w:val="4ECA2E3B"/>
    <w:rsid w:val="4EE12185"/>
    <w:rsid w:val="4EE60FEB"/>
    <w:rsid w:val="4F0371AF"/>
    <w:rsid w:val="4F06513A"/>
    <w:rsid w:val="4F0C044E"/>
    <w:rsid w:val="4F1E5ACD"/>
    <w:rsid w:val="4F201DCC"/>
    <w:rsid w:val="4F207020"/>
    <w:rsid w:val="4F2C0901"/>
    <w:rsid w:val="4F517A74"/>
    <w:rsid w:val="4F58375C"/>
    <w:rsid w:val="4F67372C"/>
    <w:rsid w:val="4F681A14"/>
    <w:rsid w:val="4F706ADC"/>
    <w:rsid w:val="4F7D78F1"/>
    <w:rsid w:val="4F815847"/>
    <w:rsid w:val="4FAD6023"/>
    <w:rsid w:val="4FAF2F06"/>
    <w:rsid w:val="4FB563F7"/>
    <w:rsid w:val="4FCF2C7B"/>
    <w:rsid w:val="4FDC0A7D"/>
    <w:rsid w:val="4FDC144F"/>
    <w:rsid w:val="4FE17CDA"/>
    <w:rsid w:val="4FFC296A"/>
    <w:rsid w:val="5008270B"/>
    <w:rsid w:val="500872E7"/>
    <w:rsid w:val="50103E58"/>
    <w:rsid w:val="501076FF"/>
    <w:rsid w:val="501D6AF2"/>
    <w:rsid w:val="50446A0A"/>
    <w:rsid w:val="505706D8"/>
    <w:rsid w:val="506208C1"/>
    <w:rsid w:val="5066779E"/>
    <w:rsid w:val="50907001"/>
    <w:rsid w:val="50B30546"/>
    <w:rsid w:val="50B81B36"/>
    <w:rsid w:val="50BD34DD"/>
    <w:rsid w:val="50BF2935"/>
    <w:rsid w:val="50CA6717"/>
    <w:rsid w:val="50CF4FF0"/>
    <w:rsid w:val="50E071EE"/>
    <w:rsid w:val="511E3143"/>
    <w:rsid w:val="513614A8"/>
    <w:rsid w:val="51361CC7"/>
    <w:rsid w:val="51372F41"/>
    <w:rsid w:val="51790D6E"/>
    <w:rsid w:val="5180044E"/>
    <w:rsid w:val="51835B02"/>
    <w:rsid w:val="51A050F7"/>
    <w:rsid w:val="51BD3611"/>
    <w:rsid w:val="51D774F2"/>
    <w:rsid w:val="51E27CF0"/>
    <w:rsid w:val="51E50E1A"/>
    <w:rsid w:val="52054947"/>
    <w:rsid w:val="520919A4"/>
    <w:rsid w:val="52222D04"/>
    <w:rsid w:val="523372B7"/>
    <w:rsid w:val="5235490E"/>
    <w:rsid w:val="523842B1"/>
    <w:rsid w:val="52386D38"/>
    <w:rsid w:val="525600D5"/>
    <w:rsid w:val="525C5FEF"/>
    <w:rsid w:val="526021B5"/>
    <w:rsid w:val="52682CE5"/>
    <w:rsid w:val="52741CED"/>
    <w:rsid w:val="52826308"/>
    <w:rsid w:val="5285323E"/>
    <w:rsid w:val="528B622B"/>
    <w:rsid w:val="528C0715"/>
    <w:rsid w:val="52913CCC"/>
    <w:rsid w:val="52AC46B9"/>
    <w:rsid w:val="52B9658A"/>
    <w:rsid w:val="52BE010E"/>
    <w:rsid w:val="52C54DC4"/>
    <w:rsid w:val="52CB1166"/>
    <w:rsid w:val="52CE630C"/>
    <w:rsid w:val="52FC7895"/>
    <w:rsid w:val="5314360C"/>
    <w:rsid w:val="53274FF6"/>
    <w:rsid w:val="5330208D"/>
    <w:rsid w:val="53302A92"/>
    <w:rsid w:val="53340EDB"/>
    <w:rsid w:val="535766EE"/>
    <w:rsid w:val="53683B4F"/>
    <w:rsid w:val="536C6F37"/>
    <w:rsid w:val="53B10062"/>
    <w:rsid w:val="53BD3C96"/>
    <w:rsid w:val="53E1303B"/>
    <w:rsid w:val="53F56824"/>
    <w:rsid w:val="53F85E9F"/>
    <w:rsid w:val="5409524B"/>
    <w:rsid w:val="54271E31"/>
    <w:rsid w:val="542C7C7A"/>
    <w:rsid w:val="542F4223"/>
    <w:rsid w:val="54314D1C"/>
    <w:rsid w:val="5460551F"/>
    <w:rsid w:val="54A73D36"/>
    <w:rsid w:val="54AF3171"/>
    <w:rsid w:val="54B308F0"/>
    <w:rsid w:val="54B35E61"/>
    <w:rsid w:val="54BD69E5"/>
    <w:rsid w:val="54ED46BB"/>
    <w:rsid w:val="55020B76"/>
    <w:rsid w:val="55087DE3"/>
    <w:rsid w:val="55284F81"/>
    <w:rsid w:val="553C3EBB"/>
    <w:rsid w:val="5541216F"/>
    <w:rsid w:val="554E41D8"/>
    <w:rsid w:val="556343AB"/>
    <w:rsid w:val="5571152A"/>
    <w:rsid w:val="55713B00"/>
    <w:rsid w:val="55773C1D"/>
    <w:rsid w:val="558372EB"/>
    <w:rsid w:val="55843327"/>
    <w:rsid w:val="559F3296"/>
    <w:rsid w:val="55D944F2"/>
    <w:rsid w:val="55FD3BA4"/>
    <w:rsid w:val="56025072"/>
    <w:rsid w:val="560850C4"/>
    <w:rsid w:val="560B0252"/>
    <w:rsid w:val="561346BC"/>
    <w:rsid w:val="562339D4"/>
    <w:rsid w:val="562763BA"/>
    <w:rsid w:val="56295C32"/>
    <w:rsid w:val="56304CF9"/>
    <w:rsid w:val="56350BBB"/>
    <w:rsid w:val="563F0293"/>
    <w:rsid w:val="56690990"/>
    <w:rsid w:val="566D19E6"/>
    <w:rsid w:val="567C6CD4"/>
    <w:rsid w:val="56853689"/>
    <w:rsid w:val="568B3784"/>
    <w:rsid w:val="568D68F6"/>
    <w:rsid w:val="56A52749"/>
    <w:rsid w:val="56AE7515"/>
    <w:rsid w:val="56AF002F"/>
    <w:rsid w:val="56B0570E"/>
    <w:rsid w:val="56BB33AF"/>
    <w:rsid w:val="56C8488B"/>
    <w:rsid w:val="56D823C6"/>
    <w:rsid w:val="56EC347A"/>
    <w:rsid w:val="570C5C44"/>
    <w:rsid w:val="570E573C"/>
    <w:rsid w:val="57264F59"/>
    <w:rsid w:val="572C198B"/>
    <w:rsid w:val="572E2DF1"/>
    <w:rsid w:val="573678D6"/>
    <w:rsid w:val="57520BCC"/>
    <w:rsid w:val="57521A21"/>
    <w:rsid w:val="575E0358"/>
    <w:rsid w:val="576554CA"/>
    <w:rsid w:val="577C15CD"/>
    <w:rsid w:val="57814A2A"/>
    <w:rsid w:val="57C82B14"/>
    <w:rsid w:val="57EA583A"/>
    <w:rsid w:val="57EE582F"/>
    <w:rsid w:val="57FC5B1D"/>
    <w:rsid w:val="57FE643E"/>
    <w:rsid w:val="58044C05"/>
    <w:rsid w:val="580759EB"/>
    <w:rsid w:val="58315B14"/>
    <w:rsid w:val="583361D7"/>
    <w:rsid w:val="583A6949"/>
    <w:rsid w:val="58456F80"/>
    <w:rsid w:val="5850112A"/>
    <w:rsid w:val="58541916"/>
    <w:rsid w:val="586A765A"/>
    <w:rsid w:val="58813C7A"/>
    <w:rsid w:val="58903AC1"/>
    <w:rsid w:val="58A60EC1"/>
    <w:rsid w:val="58CB141A"/>
    <w:rsid w:val="58D81EAB"/>
    <w:rsid w:val="58E57923"/>
    <w:rsid w:val="59051FF6"/>
    <w:rsid w:val="590D0CB1"/>
    <w:rsid w:val="591A33A9"/>
    <w:rsid w:val="592E1F4E"/>
    <w:rsid w:val="594E4234"/>
    <w:rsid w:val="59581C52"/>
    <w:rsid w:val="596158C2"/>
    <w:rsid w:val="597F2979"/>
    <w:rsid w:val="59891F0A"/>
    <w:rsid w:val="59900E41"/>
    <w:rsid w:val="599A34DF"/>
    <w:rsid w:val="59AB58DF"/>
    <w:rsid w:val="59AF7D32"/>
    <w:rsid w:val="59B54A9A"/>
    <w:rsid w:val="59B54DE3"/>
    <w:rsid w:val="59B85D01"/>
    <w:rsid w:val="59D06B9A"/>
    <w:rsid w:val="59D3301B"/>
    <w:rsid w:val="59FB373C"/>
    <w:rsid w:val="59FC0EE1"/>
    <w:rsid w:val="5A0A6742"/>
    <w:rsid w:val="5A0D2040"/>
    <w:rsid w:val="5A1F4C91"/>
    <w:rsid w:val="5A24639C"/>
    <w:rsid w:val="5A325146"/>
    <w:rsid w:val="5A352E11"/>
    <w:rsid w:val="5A4421CF"/>
    <w:rsid w:val="5A467369"/>
    <w:rsid w:val="5A556F3B"/>
    <w:rsid w:val="5A677912"/>
    <w:rsid w:val="5A6951F3"/>
    <w:rsid w:val="5A6E668B"/>
    <w:rsid w:val="5A7B66D3"/>
    <w:rsid w:val="5A8E0CD1"/>
    <w:rsid w:val="5AB4121B"/>
    <w:rsid w:val="5AC00FE5"/>
    <w:rsid w:val="5ACF5B6E"/>
    <w:rsid w:val="5AD43A9E"/>
    <w:rsid w:val="5AD85A1B"/>
    <w:rsid w:val="5AFD1738"/>
    <w:rsid w:val="5B0A7060"/>
    <w:rsid w:val="5B11313C"/>
    <w:rsid w:val="5B1C3BE8"/>
    <w:rsid w:val="5B273D24"/>
    <w:rsid w:val="5B2971DB"/>
    <w:rsid w:val="5B307836"/>
    <w:rsid w:val="5B355E89"/>
    <w:rsid w:val="5B3F03BF"/>
    <w:rsid w:val="5B526EF0"/>
    <w:rsid w:val="5B5328A2"/>
    <w:rsid w:val="5B5E287E"/>
    <w:rsid w:val="5B7C7058"/>
    <w:rsid w:val="5B7F4A09"/>
    <w:rsid w:val="5BAF03D5"/>
    <w:rsid w:val="5BB56033"/>
    <w:rsid w:val="5BBD12B3"/>
    <w:rsid w:val="5BC37ECC"/>
    <w:rsid w:val="5BD155C2"/>
    <w:rsid w:val="5BD97582"/>
    <w:rsid w:val="5BDC29EE"/>
    <w:rsid w:val="5BEA0516"/>
    <w:rsid w:val="5BEB307A"/>
    <w:rsid w:val="5BF311E3"/>
    <w:rsid w:val="5BFF2B61"/>
    <w:rsid w:val="5C0033EC"/>
    <w:rsid w:val="5C1A49F5"/>
    <w:rsid w:val="5C286AE1"/>
    <w:rsid w:val="5C335C1C"/>
    <w:rsid w:val="5C377353"/>
    <w:rsid w:val="5C4F6AD8"/>
    <w:rsid w:val="5C5E2510"/>
    <w:rsid w:val="5C7A5ECF"/>
    <w:rsid w:val="5C7E6D44"/>
    <w:rsid w:val="5C8B3A9B"/>
    <w:rsid w:val="5C9E3955"/>
    <w:rsid w:val="5CC74543"/>
    <w:rsid w:val="5CC961C0"/>
    <w:rsid w:val="5CD91410"/>
    <w:rsid w:val="5CD97A8F"/>
    <w:rsid w:val="5CDC5B52"/>
    <w:rsid w:val="5CF735E3"/>
    <w:rsid w:val="5D0C7491"/>
    <w:rsid w:val="5D1D6BAC"/>
    <w:rsid w:val="5D201323"/>
    <w:rsid w:val="5D2F086C"/>
    <w:rsid w:val="5D31161A"/>
    <w:rsid w:val="5D313A35"/>
    <w:rsid w:val="5D6339DB"/>
    <w:rsid w:val="5D696DC4"/>
    <w:rsid w:val="5D796753"/>
    <w:rsid w:val="5D7D4675"/>
    <w:rsid w:val="5D9C1931"/>
    <w:rsid w:val="5DA307E2"/>
    <w:rsid w:val="5DAE3376"/>
    <w:rsid w:val="5DB206CA"/>
    <w:rsid w:val="5DB91FED"/>
    <w:rsid w:val="5DD871D2"/>
    <w:rsid w:val="5DDF39D1"/>
    <w:rsid w:val="5DEE11C0"/>
    <w:rsid w:val="5DF949CF"/>
    <w:rsid w:val="5E0017BB"/>
    <w:rsid w:val="5E0604A7"/>
    <w:rsid w:val="5E09278B"/>
    <w:rsid w:val="5E0D696F"/>
    <w:rsid w:val="5E1C4131"/>
    <w:rsid w:val="5E2F044E"/>
    <w:rsid w:val="5E57592B"/>
    <w:rsid w:val="5E581C79"/>
    <w:rsid w:val="5E685727"/>
    <w:rsid w:val="5E6B5766"/>
    <w:rsid w:val="5E897B30"/>
    <w:rsid w:val="5E8D509F"/>
    <w:rsid w:val="5E963844"/>
    <w:rsid w:val="5E9C54B8"/>
    <w:rsid w:val="5EA6476F"/>
    <w:rsid w:val="5EB34900"/>
    <w:rsid w:val="5EB64285"/>
    <w:rsid w:val="5EBA3CEA"/>
    <w:rsid w:val="5ECA4FB0"/>
    <w:rsid w:val="5EDD393D"/>
    <w:rsid w:val="5EE03962"/>
    <w:rsid w:val="5EF93D82"/>
    <w:rsid w:val="5EFE576E"/>
    <w:rsid w:val="5F114398"/>
    <w:rsid w:val="5F3A3B96"/>
    <w:rsid w:val="5F464044"/>
    <w:rsid w:val="5F4C73CE"/>
    <w:rsid w:val="5F4F2E83"/>
    <w:rsid w:val="5F556722"/>
    <w:rsid w:val="5F575CB4"/>
    <w:rsid w:val="5F6572BF"/>
    <w:rsid w:val="5F7D7D6B"/>
    <w:rsid w:val="5F827849"/>
    <w:rsid w:val="5F867967"/>
    <w:rsid w:val="5F891C25"/>
    <w:rsid w:val="5F957D49"/>
    <w:rsid w:val="5F9C69AD"/>
    <w:rsid w:val="5FA0175F"/>
    <w:rsid w:val="5FA8056B"/>
    <w:rsid w:val="5FA86CE4"/>
    <w:rsid w:val="5FCF51A4"/>
    <w:rsid w:val="5FD4480D"/>
    <w:rsid w:val="5FD55D00"/>
    <w:rsid w:val="5FE629B0"/>
    <w:rsid w:val="5FE755B1"/>
    <w:rsid w:val="5FED78C5"/>
    <w:rsid w:val="5FF10553"/>
    <w:rsid w:val="600236B0"/>
    <w:rsid w:val="60132CD4"/>
    <w:rsid w:val="60186CD8"/>
    <w:rsid w:val="601C60CA"/>
    <w:rsid w:val="601F07DA"/>
    <w:rsid w:val="602564B6"/>
    <w:rsid w:val="602A36B9"/>
    <w:rsid w:val="602F688B"/>
    <w:rsid w:val="604A6128"/>
    <w:rsid w:val="607C7C59"/>
    <w:rsid w:val="6082354F"/>
    <w:rsid w:val="60A26CB0"/>
    <w:rsid w:val="60A64AF1"/>
    <w:rsid w:val="60D32712"/>
    <w:rsid w:val="60DA53C3"/>
    <w:rsid w:val="60E2452A"/>
    <w:rsid w:val="60E50371"/>
    <w:rsid w:val="60F53563"/>
    <w:rsid w:val="60F629FB"/>
    <w:rsid w:val="60F75D76"/>
    <w:rsid w:val="61067093"/>
    <w:rsid w:val="611C1023"/>
    <w:rsid w:val="612B0012"/>
    <w:rsid w:val="612D4D7B"/>
    <w:rsid w:val="614071B3"/>
    <w:rsid w:val="61550A61"/>
    <w:rsid w:val="6160151E"/>
    <w:rsid w:val="61851902"/>
    <w:rsid w:val="619031BB"/>
    <w:rsid w:val="61AF7A9E"/>
    <w:rsid w:val="61B47CBB"/>
    <w:rsid w:val="61C50729"/>
    <w:rsid w:val="61C80CD0"/>
    <w:rsid w:val="61D5352D"/>
    <w:rsid w:val="61E878DC"/>
    <w:rsid w:val="61EF7F2B"/>
    <w:rsid w:val="620D7503"/>
    <w:rsid w:val="62102286"/>
    <w:rsid w:val="621C2BCD"/>
    <w:rsid w:val="6222335C"/>
    <w:rsid w:val="62283E05"/>
    <w:rsid w:val="6238663D"/>
    <w:rsid w:val="623F4CE8"/>
    <w:rsid w:val="62411C44"/>
    <w:rsid w:val="624F7683"/>
    <w:rsid w:val="625F2443"/>
    <w:rsid w:val="626D77A8"/>
    <w:rsid w:val="62710CDB"/>
    <w:rsid w:val="62831F9C"/>
    <w:rsid w:val="62BE2B96"/>
    <w:rsid w:val="62BE7D04"/>
    <w:rsid w:val="62C302BC"/>
    <w:rsid w:val="62C6255C"/>
    <w:rsid w:val="62C8496E"/>
    <w:rsid w:val="62D00D0F"/>
    <w:rsid w:val="62E45ABC"/>
    <w:rsid w:val="62ED0C70"/>
    <w:rsid w:val="62F47B39"/>
    <w:rsid w:val="631D1035"/>
    <w:rsid w:val="63284077"/>
    <w:rsid w:val="632B137B"/>
    <w:rsid w:val="63342935"/>
    <w:rsid w:val="63354906"/>
    <w:rsid w:val="634E7156"/>
    <w:rsid w:val="63652F41"/>
    <w:rsid w:val="638177D0"/>
    <w:rsid w:val="638249EE"/>
    <w:rsid w:val="63910C7C"/>
    <w:rsid w:val="639C69F0"/>
    <w:rsid w:val="63A27D79"/>
    <w:rsid w:val="63A916B5"/>
    <w:rsid w:val="63B9547D"/>
    <w:rsid w:val="63BA75DD"/>
    <w:rsid w:val="63CC3487"/>
    <w:rsid w:val="63E9277D"/>
    <w:rsid w:val="63E93567"/>
    <w:rsid w:val="63EA7C39"/>
    <w:rsid w:val="63F7386F"/>
    <w:rsid w:val="63FC32F3"/>
    <w:rsid w:val="64035DB1"/>
    <w:rsid w:val="64046BC4"/>
    <w:rsid w:val="64095E1F"/>
    <w:rsid w:val="640D5F58"/>
    <w:rsid w:val="64251EED"/>
    <w:rsid w:val="64460798"/>
    <w:rsid w:val="644B008B"/>
    <w:rsid w:val="645524DA"/>
    <w:rsid w:val="6459692D"/>
    <w:rsid w:val="645C3AC1"/>
    <w:rsid w:val="64657327"/>
    <w:rsid w:val="64671A4F"/>
    <w:rsid w:val="64B172F7"/>
    <w:rsid w:val="64BB1AE0"/>
    <w:rsid w:val="64BC6FDF"/>
    <w:rsid w:val="64E23041"/>
    <w:rsid w:val="64EF362D"/>
    <w:rsid w:val="64F85868"/>
    <w:rsid w:val="65076C9A"/>
    <w:rsid w:val="650F2902"/>
    <w:rsid w:val="65110FDD"/>
    <w:rsid w:val="65217CDF"/>
    <w:rsid w:val="652B1ED5"/>
    <w:rsid w:val="653B7896"/>
    <w:rsid w:val="654260EB"/>
    <w:rsid w:val="65447519"/>
    <w:rsid w:val="65495D1A"/>
    <w:rsid w:val="656260A8"/>
    <w:rsid w:val="65752E01"/>
    <w:rsid w:val="65951DD4"/>
    <w:rsid w:val="65AE6C44"/>
    <w:rsid w:val="65C42708"/>
    <w:rsid w:val="65F03DF9"/>
    <w:rsid w:val="65FD63C4"/>
    <w:rsid w:val="66026AA6"/>
    <w:rsid w:val="660559DF"/>
    <w:rsid w:val="660763A7"/>
    <w:rsid w:val="661A0C7D"/>
    <w:rsid w:val="6626704B"/>
    <w:rsid w:val="66651BF7"/>
    <w:rsid w:val="668C56CD"/>
    <w:rsid w:val="669666C6"/>
    <w:rsid w:val="66B23ED2"/>
    <w:rsid w:val="66C03BBA"/>
    <w:rsid w:val="66D01C51"/>
    <w:rsid w:val="66D83E27"/>
    <w:rsid w:val="66EA7599"/>
    <w:rsid w:val="671F55B7"/>
    <w:rsid w:val="674A172C"/>
    <w:rsid w:val="676E7ABE"/>
    <w:rsid w:val="67701F28"/>
    <w:rsid w:val="677663D7"/>
    <w:rsid w:val="677C60EB"/>
    <w:rsid w:val="6792719F"/>
    <w:rsid w:val="67A9274D"/>
    <w:rsid w:val="67C2627C"/>
    <w:rsid w:val="67DC0A87"/>
    <w:rsid w:val="67E249BE"/>
    <w:rsid w:val="67E75C93"/>
    <w:rsid w:val="67EC2551"/>
    <w:rsid w:val="67F56318"/>
    <w:rsid w:val="680204F6"/>
    <w:rsid w:val="680504BC"/>
    <w:rsid w:val="68101F13"/>
    <w:rsid w:val="682067FD"/>
    <w:rsid w:val="6824475B"/>
    <w:rsid w:val="682D4A1E"/>
    <w:rsid w:val="68334D1D"/>
    <w:rsid w:val="684544DB"/>
    <w:rsid w:val="684571BE"/>
    <w:rsid w:val="68705A1B"/>
    <w:rsid w:val="68711AE4"/>
    <w:rsid w:val="6875652E"/>
    <w:rsid w:val="687A2D82"/>
    <w:rsid w:val="687C1D54"/>
    <w:rsid w:val="68976E0F"/>
    <w:rsid w:val="68991D1F"/>
    <w:rsid w:val="68B579C1"/>
    <w:rsid w:val="68E1403F"/>
    <w:rsid w:val="68F523D3"/>
    <w:rsid w:val="690104F6"/>
    <w:rsid w:val="69045053"/>
    <w:rsid w:val="6922621A"/>
    <w:rsid w:val="692D4E48"/>
    <w:rsid w:val="693109F6"/>
    <w:rsid w:val="69341254"/>
    <w:rsid w:val="69364D18"/>
    <w:rsid w:val="694073AE"/>
    <w:rsid w:val="696006B6"/>
    <w:rsid w:val="697D291D"/>
    <w:rsid w:val="699F173D"/>
    <w:rsid w:val="69AC6EAA"/>
    <w:rsid w:val="69DE05FF"/>
    <w:rsid w:val="69DE5F08"/>
    <w:rsid w:val="69F16EC5"/>
    <w:rsid w:val="6A033DA9"/>
    <w:rsid w:val="6A1A41F2"/>
    <w:rsid w:val="6A2672EE"/>
    <w:rsid w:val="6A2949FE"/>
    <w:rsid w:val="6A2D5D35"/>
    <w:rsid w:val="6A401FE0"/>
    <w:rsid w:val="6A427A8E"/>
    <w:rsid w:val="6A642257"/>
    <w:rsid w:val="6A6574FB"/>
    <w:rsid w:val="6A6B5095"/>
    <w:rsid w:val="6A7E7A86"/>
    <w:rsid w:val="6A8C23FC"/>
    <w:rsid w:val="6AA82DFD"/>
    <w:rsid w:val="6AAB132A"/>
    <w:rsid w:val="6ADA25A7"/>
    <w:rsid w:val="6AE21C0F"/>
    <w:rsid w:val="6AE96636"/>
    <w:rsid w:val="6AEA6A44"/>
    <w:rsid w:val="6AFE5BDC"/>
    <w:rsid w:val="6B047EEC"/>
    <w:rsid w:val="6B0C5E52"/>
    <w:rsid w:val="6B1E140C"/>
    <w:rsid w:val="6B264D9F"/>
    <w:rsid w:val="6B2711DF"/>
    <w:rsid w:val="6B3464A3"/>
    <w:rsid w:val="6B40590D"/>
    <w:rsid w:val="6B4522CC"/>
    <w:rsid w:val="6B6877F2"/>
    <w:rsid w:val="6B6F6A4C"/>
    <w:rsid w:val="6B7B1258"/>
    <w:rsid w:val="6B8C5489"/>
    <w:rsid w:val="6B970EFB"/>
    <w:rsid w:val="6BA36EE6"/>
    <w:rsid w:val="6BBF66B7"/>
    <w:rsid w:val="6BD77952"/>
    <w:rsid w:val="6BE41CC5"/>
    <w:rsid w:val="6BE77EEC"/>
    <w:rsid w:val="6BEC0446"/>
    <w:rsid w:val="6BFD31C3"/>
    <w:rsid w:val="6BFE074B"/>
    <w:rsid w:val="6C056E24"/>
    <w:rsid w:val="6C076371"/>
    <w:rsid w:val="6C257ECC"/>
    <w:rsid w:val="6C534F99"/>
    <w:rsid w:val="6C554AF0"/>
    <w:rsid w:val="6C56083B"/>
    <w:rsid w:val="6C5D6920"/>
    <w:rsid w:val="6C8308FD"/>
    <w:rsid w:val="6C8B1D7A"/>
    <w:rsid w:val="6CC44375"/>
    <w:rsid w:val="6CC5064D"/>
    <w:rsid w:val="6CE74E11"/>
    <w:rsid w:val="6CFE76D7"/>
    <w:rsid w:val="6D052F54"/>
    <w:rsid w:val="6D0A6590"/>
    <w:rsid w:val="6D0F568E"/>
    <w:rsid w:val="6D0F726C"/>
    <w:rsid w:val="6D132665"/>
    <w:rsid w:val="6D2039D8"/>
    <w:rsid w:val="6D495F33"/>
    <w:rsid w:val="6D53407C"/>
    <w:rsid w:val="6D5D638D"/>
    <w:rsid w:val="6D606A09"/>
    <w:rsid w:val="6D650167"/>
    <w:rsid w:val="6D710E4E"/>
    <w:rsid w:val="6D7D4B23"/>
    <w:rsid w:val="6D7F5143"/>
    <w:rsid w:val="6D8129F8"/>
    <w:rsid w:val="6D820BB6"/>
    <w:rsid w:val="6D9105BD"/>
    <w:rsid w:val="6D915F28"/>
    <w:rsid w:val="6D943E43"/>
    <w:rsid w:val="6DAA7112"/>
    <w:rsid w:val="6DF760B9"/>
    <w:rsid w:val="6DFF6F90"/>
    <w:rsid w:val="6E0E38A6"/>
    <w:rsid w:val="6E142C32"/>
    <w:rsid w:val="6E1B45FE"/>
    <w:rsid w:val="6E3A2E82"/>
    <w:rsid w:val="6E3B5B6E"/>
    <w:rsid w:val="6E3E41F9"/>
    <w:rsid w:val="6E427DDD"/>
    <w:rsid w:val="6E46167B"/>
    <w:rsid w:val="6E6A5892"/>
    <w:rsid w:val="6E8C7920"/>
    <w:rsid w:val="6EA634F9"/>
    <w:rsid w:val="6EA834AB"/>
    <w:rsid w:val="6EAB6972"/>
    <w:rsid w:val="6EB12EF2"/>
    <w:rsid w:val="6EB715FB"/>
    <w:rsid w:val="6EC4481F"/>
    <w:rsid w:val="6ECF0F2D"/>
    <w:rsid w:val="6ECF30E5"/>
    <w:rsid w:val="6F023F59"/>
    <w:rsid w:val="6F102098"/>
    <w:rsid w:val="6F284C32"/>
    <w:rsid w:val="6F287AF8"/>
    <w:rsid w:val="6F394C88"/>
    <w:rsid w:val="6F4D67A9"/>
    <w:rsid w:val="6F4F2E6A"/>
    <w:rsid w:val="6F5C1BD6"/>
    <w:rsid w:val="6F9425AC"/>
    <w:rsid w:val="6FED68AD"/>
    <w:rsid w:val="6FF30C15"/>
    <w:rsid w:val="6FF86EAD"/>
    <w:rsid w:val="70074066"/>
    <w:rsid w:val="702C0091"/>
    <w:rsid w:val="7032686B"/>
    <w:rsid w:val="70335D5F"/>
    <w:rsid w:val="70397F40"/>
    <w:rsid w:val="70455C27"/>
    <w:rsid w:val="70491AA8"/>
    <w:rsid w:val="704C422D"/>
    <w:rsid w:val="706D1D09"/>
    <w:rsid w:val="709C7E04"/>
    <w:rsid w:val="70A1528F"/>
    <w:rsid w:val="70B717C6"/>
    <w:rsid w:val="70B93789"/>
    <w:rsid w:val="70C126AD"/>
    <w:rsid w:val="70DA2ADB"/>
    <w:rsid w:val="71193235"/>
    <w:rsid w:val="71354629"/>
    <w:rsid w:val="71566079"/>
    <w:rsid w:val="7157487E"/>
    <w:rsid w:val="71594463"/>
    <w:rsid w:val="715C4E41"/>
    <w:rsid w:val="71670A38"/>
    <w:rsid w:val="71697E9E"/>
    <w:rsid w:val="7176127C"/>
    <w:rsid w:val="71837FA8"/>
    <w:rsid w:val="719234CF"/>
    <w:rsid w:val="719F3B82"/>
    <w:rsid w:val="71A00830"/>
    <w:rsid w:val="71B5792C"/>
    <w:rsid w:val="71B7662F"/>
    <w:rsid w:val="71B81756"/>
    <w:rsid w:val="71C81E36"/>
    <w:rsid w:val="71E054EB"/>
    <w:rsid w:val="71FC32FA"/>
    <w:rsid w:val="71FE7E21"/>
    <w:rsid w:val="72023B4F"/>
    <w:rsid w:val="720947EC"/>
    <w:rsid w:val="720E74A3"/>
    <w:rsid w:val="721500E4"/>
    <w:rsid w:val="721A65D8"/>
    <w:rsid w:val="7224706B"/>
    <w:rsid w:val="722775B4"/>
    <w:rsid w:val="72284D44"/>
    <w:rsid w:val="724F6697"/>
    <w:rsid w:val="72675B34"/>
    <w:rsid w:val="72725BF0"/>
    <w:rsid w:val="728023A3"/>
    <w:rsid w:val="72821F8D"/>
    <w:rsid w:val="72A535F8"/>
    <w:rsid w:val="72A557AB"/>
    <w:rsid w:val="72C44ACB"/>
    <w:rsid w:val="72C56810"/>
    <w:rsid w:val="72D72ABC"/>
    <w:rsid w:val="72EC006A"/>
    <w:rsid w:val="72F83564"/>
    <w:rsid w:val="72F92C0E"/>
    <w:rsid w:val="7303572D"/>
    <w:rsid w:val="73195E7E"/>
    <w:rsid w:val="731D5A28"/>
    <w:rsid w:val="73362C4B"/>
    <w:rsid w:val="733D6A3A"/>
    <w:rsid w:val="73557ACC"/>
    <w:rsid w:val="735A27AF"/>
    <w:rsid w:val="736D4CE9"/>
    <w:rsid w:val="73710292"/>
    <w:rsid w:val="738C0949"/>
    <w:rsid w:val="738F5872"/>
    <w:rsid w:val="73A4199D"/>
    <w:rsid w:val="73AB2B42"/>
    <w:rsid w:val="73BC439F"/>
    <w:rsid w:val="73E472C6"/>
    <w:rsid w:val="73E711BC"/>
    <w:rsid w:val="73F66545"/>
    <w:rsid w:val="74102D6A"/>
    <w:rsid w:val="7420360B"/>
    <w:rsid w:val="7428537F"/>
    <w:rsid w:val="74524F5F"/>
    <w:rsid w:val="747903EA"/>
    <w:rsid w:val="74801C28"/>
    <w:rsid w:val="748F2445"/>
    <w:rsid w:val="74905B5F"/>
    <w:rsid w:val="74C27099"/>
    <w:rsid w:val="74C816F8"/>
    <w:rsid w:val="74C8474B"/>
    <w:rsid w:val="74CC6EEE"/>
    <w:rsid w:val="74CE4687"/>
    <w:rsid w:val="74D57487"/>
    <w:rsid w:val="74F100DD"/>
    <w:rsid w:val="750431A3"/>
    <w:rsid w:val="75043CC2"/>
    <w:rsid w:val="750801BD"/>
    <w:rsid w:val="75091B89"/>
    <w:rsid w:val="750F4881"/>
    <w:rsid w:val="75162E94"/>
    <w:rsid w:val="75300FF6"/>
    <w:rsid w:val="75323FF4"/>
    <w:rsid w:val="753D72B7"/>
    <w:rsid w:val="753F6C38"/>
    <w:rsid w:val="754C5F8C"/>
    <w:rsid w:val="755A6A6F"/>
    <w:rsid w:val="75640058"/>
    <w:rsid w:val="757C1E26"/>
    <w:rsid w:val="75844300"/>
    <w:rsid w:val="75864A53"/>
    <w:rsid w:val="758807CB"/>
    <w:rsid w:val="75A5498C"/>
    <w:rsid w:val="75A865CD"/>
    <w:rsid w:val="75B626CC"/>
    <w:rsid w:val="75BF1D13"/>
    <w:rsid w:val="75D91A57"/>
    <w:rsid w:val="75DB6A16"/>
    <w:rsid w:val="75DF5F75"/>
    <w:rsid w:val="75E04EB0"/>
    <w:rsid w:val="76096459"/>
    <w:rsid w:val="760B4DB5"/>
    <w:rsid w:val="761877B2"/>
    <w:rsid w:val="761C527B"/>
    <w:rsid w:val="76262E7C"/>
    <w:rsid w:val="76496D66"/>
    <w:rsid w:val="764B0773"/>
    <w:rsid w:val="76680935"/>
    <w:rsid w:val="76686A11"/>
    <w:rsid w:val="76973820"/>
    <w:rsid w:val="769D5E5A"/>
    <w:rsid w:val="76AA6C2E"/>
    <w:rsid w:val="76B61B7B"/>
    <w:rsid w:val="76B9199B"/>
    <w:rsid w:val="76BA10EF"/>
    <w:rsid w:val="76BB794F"/>
    <w:rsid w:val="76BC343C"/>
    <w:rsid w:val="76BE22DC"/>
    <w:rsid w:val="76D10042"/>
    <w:rsid w:val="76EA2BB8"/>
    <w:rsid w:val="76FC2785"/>
    <w:rsid w:val="771D031E"/>
    <w:rsid w:val="7721473D"/>
    <w:rsid w:val="7722417D"/>
    <w:rsid w:val="772753A9"/>
    <w:rsid w:val="77373C87"/>
    <w:rsid w:val="773F6664"/>
    <w:rsid w:val="774F550E"/>
    <w:rsid w:val="77701A81"/>
    <w:rsid w:val="77891409"/>
    <w:rsid w:val="7791746E"/>
    <w:rsid w:val="77A261D6"/>
    <w:rsid w:val="77A34776"/>
    <w:rsid w:val="77BC3A23"/>
    <w:rsid w:val="77BE38F3"/>
    <w:rsid w:val="77CD2581"/>
    <w:rsid w:val="78065032"/>
    <w:rsid w:val="78087D63"/>
    <w:rsid w:val="78126ABD"/>
    <w:rsid w:val="78143C1D"/>
    <w:rsid w:val="78156719"/>
    <w:rsid w:val="782D74BE"/>
    <w:rsid w:val="78664B72"/>
    <w:rsid w:val="78773689"/>
    <w:rsid w:val="789E78B9"/>
    <w:rsid w:val="78B66C1F"/>
    <w:rsid w:val="78B72EB2"/>
    <w:rsid w:val="78CA10FB"/>
    <w:rsid w:val="78D44B9F"/>
    <w:rsid w:val="78E3317E"/>
    <w:rsid w:val="78F13CD9"/>
    <w:rsid w:val="78F348DA"/>
    <w:rsid w:val="78FD369C"/>
    <w:rsid w:val="791B4D50"/>
    <w:rsid w:val="792E0234"/>
    <w:rsid w:val="792E7CEA"/>
    <w:rsid w:val="7948252F"/>
    <w:rsid w:val="79492331"/>
    <w:rsid w:val="795B150F"/>
    <w:rsid w:val="7972427B"/>
    <w:rsid w:val="79746EC0"/>
    <w:rsid w:val="797D4EB8"/>
    <w:rsid w:val="79B34D27"/>
    <w:rsid w:val="79BE4A23"/>
    <w:rsid w:val="79CD55C5"/>
    <w:rsid w:val="79FB7D7D"/>
    <w:rsid w:val="7A03076A"/>
    <w:rsid w:val="7A04073F"/>
    <w:rsid w:val="7A0C768F"/>
    <w:rsid w:val="7A136C3B"/>
    <w:rsid w:val="7A1B7223"/>
    <w:rsid w:val="7A721AE7"/>
    <w:rsid w:val="7A796A9F"/>
    <w:rsid w:val="7A8254FF"/>
    <w:rsid w:val="7A8E5EB2"/>
    <w:rsid w:val="7A994428"/>
    <w:rsid w:val="7ACB65E5"/>
    <w:rsid w:val="7ACF2748"/>
    <w:rsid w:val="7AF6162B"/>
    <w:rsid w:val="7B182538"/>
    <w:rsid w:val="7B1F79FA"/>
    <w:rsid w:val="7B3C482B"/>
    <w:rsid w:val="7B452656"/>
    <w:rsid w:val="7B4625AE"/>
    <w:rsid w:val="7B524A1A"/>
    <w:rsid w:val="7B5649BE"/>
    <w:rsid w:val="7B7470FC"/>
    <w:rsid w:val="7B882FE9"/>
    <w:rsid w:val="7B9F7F04"/>
    <w:rsid w:val="7BA5555C"/>
    <w:rsid w:val="7BAE3673"/>
    <w:rsid w:val="7BDC3882"/>
    <w:rsid w:val="7BF3390A"/>
    <w:rsid w:val="7BFA2DD0"/>
    <w:rsid w:val="7C110C68"/>
    <w:rsid w:val="7C2525F6"/>
    <w:rsid w:val="7C267B0E"/>
    <w:rsid w:val="7C3863D8"/>
    <w:rsid w:val="7C3B3720"/>
    <w:rsid w:val="7C4B7355"/>
    <w:rsid w:val="7C5D0645"/>
    <w:rsid w:val="7C767388"/>
    <w:rsid w:val="7C7D28A6"/>
    <w:rsid w:val="7C8A4D0A"/>
    <w:rsid w:val="7C8E22E2"/>
    <w:rsid w:val="7C914B7A"/>
    <w:rsid w:val="7CB45811"/>
    <w:rsid w:val="7CE30DBE"/>
    <w:rsid w:val="7D133495"/>
    <w:rsid w:val="7D284642"/>
    <w:rsid w:val="7D2D5B71"/>
    <w:rsid w:val="7D376808"/>
    <w:rsid w:val="7D6E729F"/>
    <w:rsid w:val="7D773126"/>
    <w:rsid w:val="7D77511F"/>
    <w:rsid w:val="7DA339D8"/>
    <w:rsid w:val="7DAF2403"/>
    <w:rsid w:val="7DB8183E"/>
    <w:rsid w:val="7DC20F9D"/>
    <w:rsid w:val="7DDC7AC7"/>
    <w:rsid w:val="7DF118E5"/>
    <w:rsid w:val="7E067256"/>
    <w:rsid w:val="7E1F2C22"/>
    <w:rsid w:val="7E2126E3"/>
    <w:rsid w:val="7E45779A"/>
    <w:rsid w:val="7E580201"/>
    <w:rsid w:val="7E9E355B"/>
    <w:rsid w:val="7EA10553"/>
    <w:rsid w:val="7EA13AF9"/>
    <w:rsid w:val="7EBE04D5"/>
    <w:rsid w:val="7EBE16DE"/>
    <w:rsid w:val="7EBF31DC"/>
    <w:rsid w:val="7EC860DC"/>
    <w:rsid w:val="7EE41162"/>
    <w:rsid w:val="7EE60AE2"/>
    <w:rsid w:val="7EF73BF0"/>
    <w:rsid w:val="7EFE1FF5"/>
    <w:rsid w:val="7F233BF2"/>
    <w:rsid w:val="7F343594"/>
    <w:rsid w:val="7F42139A"/>
    <w:rsid w:val="7F52126A"/>
    <w:rsid w:val="7F574B64"/>
    <w:rsid w:val="7F5931D8"/>
    <w:rsid w:val="7F597F27"/>
    <w:rsid w:val="7F5B78F0"/>
    <w:rsid w:val="7F6D27E0"/>
    <w:rsid w:val="7F72125D"/>
    <w:rsid w:val="7F856227"/>
    <w:rsid w:val="7F8C70D8"/>
    <w:rsid w:val="7F98676E"/>
    <w:rsid w:val="7F9C5C17"/>
    <w:rsid w:val="7FA60F06"/>
    <w:rsid w:val="7FA83C11"/>
    <w:rsid w:val="7FCA175D"/>
    <w:rsid w:val="7FD17B2C"/>
    <w:rsid w:val="7FDF36DE"/>
    <w:rsid w:val="7FE621F2"/>
    <w:rsid w:val="7FFA69A3"/>
    <w:rsid w:val="7FFE1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9"/>
    <w:pPr>
      <w:keepNext/>
      <w:keepLines/>
      <w:numPr>
        <w:ilvl w:val="1"/>
        <w:numId w:val="1"/>
      </w:numPr>
      <w:spacing w:before="340" w:after="330" w:line="578" w:lineRule="auto"/>
      <w:ind w:left="1560"/>
      <w:outlineLvl w:val="0"/>
    </w:pPr>
    <w:rPr>
      <w:rFonts w:ascii="Times New Roman" w:hAnsi="Times New Roman"/>
      <w:b/>
      <w:bCs/>
      <w:kern w:val="44"/>
      <w:sz w:val="32"/>
      <w:szCs w:val="44"/>
    </w:rPr>
  </w:style>
  <w:style w:type="paragraph" w:styleId="4">
    <w:name w:val="heading 2"/>
    <w:basedOn w:val="1"/>
    <w:next w:val="1"/>
    <w:link w:val="20"/>
    <w:unhideWhenUsed/>
    <w:qFormat/>
    <w:uiPriority w:val="0"/>
    <w:pPr>
      <w:keepNext/>
      <w:keepLines/>
      <w:spacing w:before="260" w:beforeLines="0" w:after="260" w:afterLines="0" w:line="416" w:lineRule="auto"/>
      <w:outlineLvl w:val="1"/>
    </w:pPr>
    <w:rPr>
      <w:rFonts w:ascii="Arial" w:hAnsi="Arial" w:eastAsia="黑体"/>
      <w:b/>
      <w:bCs/>
      <w:kern w:val="2"/>
      <w:sz w:val="32"/>
      <w:szCs w:val="32"/>
      <w:lang w:val="en-US" w:eastAsia="zh-CN" w:bidi="ar-SA"/>
    </w:rPr>
  </w:style>
  <w:style w:type="paragraph" w:styleId="5">
    <w:name w:val="heading 3"/>
    <w:basedOn w:val="1"/>
    <w:next w:val="1"/>
    <w:link w:val="18"/>
    <w:qFormat/>
    <w:uiPriority w:val="99"/>
    <w:pPr>
      <w:keepNext/>
      <w:keepLines/>
      <w:spacing w:before="260" w:after="260" w:line="415" w:lineRule="auto"/>
      <w:outlineLvl w:val="2"/>
    </w:pPr>
    <w:rPr>
      <w:rFonts w:eastAsia="仿宋"/>
      <w:b/>
      <w:bCs/>
      <w:sz w:val="32"/>
      <w:szCs w:val="32"/>
    </w:rPr>
  </w:style>
  <w:style w:type="paragraph" w:styleId="6">
    <w:name w:val="heading 4"/>
    <w:basedOn w:val="1"/>
    <w:next w:val="1"/>
    <w:unhideWhenUsed/>
    <w:qFormat/>
    <w:uiPriority w:val="0"/>
    <w:pPr>
      <w:keepNext/>
      <w:keepLines/>
      <w:spacing w:beforeLines="0" w:beforeAutospacing="0" w:afterLines="0" w:afterAutospacing="0" w:line="560" w:lineRule="exact"/>
      <w:outlineLvl w:val="3"/>
    </w:pPr>
    <w:rPr>
      <w:rFonts w:ascii="仿宋_GB2312" w:hAnsi="仿宋_GB2312" w:cs="仿宋_GB2312"/>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210"/>
      <w:jc w:val="left"/>
    </w:pPr>
    <w:rPr>
      <w:smallCaps/>
      <w:sz w:val="20"/>
      <w:szCs w:val="20"/>
    </w:rPr>
  </w:style>
  <w:style w:type="paragraph" w:styleId="7">
    <w:name w:val="table of authorities"/>
    <w:basedOn w:val="1"/>
    <w:next w:val="1"/>
    <w:unhideWhenUsed/>
    <w:qFormat/>
    <w:uiPriority w:val="99"/>
    <w:pPr>
      <w:ind w:left="420" w:leftChars="200"/>
    </w:pPr>
  </w:style>
  <w:style w:type="paragraph" w:styleId="8">
    <w:name w:val="Body Text"/>
    <w:basedOn w:val="1"/>
    <w:next w:val="6"/>
    <w:qFormat/>
    <w:uiPriority w:val="0"/>
    <w:pPr>
      <w:spacing w:after="12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unhideWhenUsed/>
    <w:qFormat/>
    <w:uiPriority w:val="99"/>
    <w:pPr>
      <w:widowControl/>
      <w:spacing w:before="100" w:beforeAutospacing="1" w:after="100" w:afterAutospacing="1"/>
      <w:jc w:val="left"/>
    </w:pPr>
    <w:rPr>
      <w:rFonts w:ascii="Arial Unicode MS" w:hAnsi="Arial Unicode MS" w:cs="宋体"/>
      <w:kern w:val="0"/>
      <w:sz w:val="24"/>
      <w:szCs w:val="24"/>
    </w:rPr>
  </w:style>
  <w:style w:type="character" w:styleId="14">
    <w:name w:val="Strong"/>
    <w:basedOn w:val="13"/>
    <w:qFormat/>
    <w:uiPriority w:val="22"/>
    <w:rPr>
      <w:b/>
      <w:bCs/>
    </w:rPr>
  </w:style>
  <w:style w:type="paragraph" w:customStyle="1" w:styleId="15">
    <w:name w:val="Body Text First Indent1"/>
    <w:basedOn w:val="16"/>
    <w:qFormat/>
    <w:uiPriority w:val="0"/>
    <w:pPr>
      <w:ind w:firstLine="100" w:firstLineChars="100"/>
    </w:pPr>
  </w:style>
  <w:style w:type="paragraph" w:customStyle="1" w:styleId="16">
    <w:name w:val="Body Text1"/>
    <w:basedOn w:val="1"/>
    <w:qFormat/>
    <w:uiPriority w:val="0"/>
    <w:rPr>
      <w:b/>
      <w:sz w:val="44"/>
    </w:rPr>
  </w:style>
  <w:style w:type="paragraph" w:customStyle="1" w:styleId="17">
    <w:name w:val="p0"/>
    <w:basedOn w:val="1"/>
    <w:qFormat/>
    <w:uiPriority w:val="0"/>
    <w:pPr>
      <w:widowControl/>
      <w:spacing w:before="100" w:beforeAutospacing="1" w:after="100" w:afterAutospacing="1" w:line="365" w:lineRule="atLeast"/>
      <w:ind w:left="1"/>
    </w:pPr>
    <w:rPr>
      <w:kern w:val="0"/>
      <w:sz w:val="20"/>
      <w:szCs w:val="20"/>
    </w:rPr>
  </w:style>
  <w:style w:type="character" w:customStyle="1" w:styleId="18">
    <w:name w:val="标题 3 Char"/>
    <w:basedOn w:val="13"/>
    <w:link w:val="5"/>
    <w:qFormat/>
    <w:uiPriority w:val="99"/>
    <w:rPr>
      <w:rFonts w:eastAsia="仿宋"/>
      <w:b/>
      <w:bCs/>
      <w:sz w:val="32"/>
      <w:szCs w:val="32"/>
    </w:rPr>
  </w:style>
  <w:style w:type="paragraph" w:styleId="19">
    <w:name w:val="List Paragraph"/>
    <w:basedOn w:val="1"/>
    <w:qFormat/>
    <w:uiPriority w:val="34"/>
    <w:pPr>
      <w:ind w:firstLine="420" w:firstLineChars="200"/>
    </w:pPr>
  </w:style>
  <w:style w:type="character" w:customStyle="1" w:styleId="20">
    <w:name w:val="标题 2 Char Char Char"/>
    <w:basedOn w:val="13"/>
    <w:link w:val="4"/>
    <w:qFormat/>
    <w:uiPriority w:val="0"/>
    <w:rPr>
      <w:rFonts w:ascii="Arial" w:hAnsi="Arial" w:eastAsia="黑体"/>
      <w:b/>
      <w:bCs/>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99</Pages>
  <Words>37148</Words>
  <Characters>42351</Characters>
  <Lines>0</Lines>
  <Paragraphs>0</Paragraphs>
  <TotalTime>1</TotalTime>
  <ScaleCrop>false</ScaleCrop>
  <LinksUpToDate>false</LinksUpToDate>
  <CharactersWithSpaces>45103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2021-06-03T07:20:00Z</dcterms:created>
  <dc:creator>Lenovo</dc:creator>
  <cp:lastModifiedBy>蜀山剑仙</cp:lastModifiedBy>
  <cp:lastPrinted>2023-03-23T01:31:00Z</cp:lastPrinted>
  <dcterms:modified xsi:type="dcterms:W3CDTF">2023-07-25T03:48:40Z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24E87761CA1548E180D78D2BD854EFAA_13</vt:lpwstr>
  </property>
</Properties>
</file>