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45" w:line="224" w:lineRule="auto"/>
        <w:ind w:left="20"/>
        <w:rPr>
          <w:rFonts w:ascii="黑体" w:hAnsi="黑体" w:eastAsia="黑体" w:cs="黑体"/>
          <w:sz w:val="22"/>
          <w:szCs w:val="22"/>
        </w:rPr>
      </w:pPr>
      <w:r>
        <w:rPr>
          <w:rFonts w:ascii="黑体" w:hAnsi="黑体" w:eastAsia="黑体" w:cs="黑体"/>
          <w:spacing w:val="-6"/>
          <w:sz w:val="22"/>
          <w:szCs w:val="22"/>
        </w:rPr>
        <w:t>附件4</w:t>
      </w:r>
    </w:p>
    <w:p>
      <w:pPr>
        <w:spacing w:before="77" w:line="219" w:lineRule="auto"/>
        <w:ind w:left="3159"/>
        <w:rPr>
          <w:rFonts w:ascii="宋体" w:hAnsi="宋体" w:eastAsia="宋体" w:cs="宋体"/>
          <w:sz w:val="25"/>
          <w:szCs w:val="25"/>
        </w:rPr>
      </w:pPr>
      <w:r>
        <w:rPr>
          <w:rFonts w:hint="eastAsia" w:ascii="Times New Roman" w:hAnsi="Times New Roman" w:eastAsia="Times New Roman" w:cs="Times New Roman"/>
          <w:b/>
          <w:bCs/>
          <w:spacing w:val="-13"/>
          <w:sz w:val="25"/>
          <w:szCs w:val="25"/>
        </w:rPr>
        <w:t>优抚对象</w:t>
      </w:r>
      <w:r>
        <w:rPr>
          <w:rFonts w:hint="eastAsia" w:ascii="Times New Roman" w:hAnsi="Times New Roman" w:eastAsia="宋体" w:cs="Times New Roman"/>
          <w:b/>
          <w:bCs/>
          <w:spacing w:val="-13"/>
          <w:sz w:val="25"/>
          <w:szCs w:val="25"/>
          <w:lang w:val="en-US" w:eastAsia="zh-CN"/>
        </w:rPr>
        <w:t>医疗</w:t>
      </w:r>
      <w:r>
        <w:rPr>
          <w:rFonts w:hint="eastAsia" w:ascii="Times New Roman" w:hAnsi="Times New Roman" w:eastAsia="Times New Roman" w:cs="Times New Roman"/>
          <w:b/>
          <w:bCs/>
          <w:spacing w:val="-13"/>
          <w:sz w:val="25"/>
          <w:szCs w:val="25"/>
        </w:rPr>
        <w:t>补助经费</w:t>
      </w:r>
      <w:r>
        <w:rPr>
          <w:rFonts w:ascii="宋体" w:hAnsi="宋体" w:eastAsia="宋体" w:cs="宋体"/>
          <w:b/>
          <w:bCs/>
          <w:spacing w:val="-13"/>
          <w:sz w:val="25"/>
          <w:szCs w:val="25"/>
        </w:rPr>
        <w:t>转移支付整体绩效自评表</w:t>
      </w:r>
    </w:p>
    <w:p>
      <w:pPr>
        <w:spacing w:before="43" w:line="219" w:lineRule="auto"/>
        <w:ind w:left="423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4"/>
          <w:sz w:val="16"/>
          <w:szCs w:val="16"/>
        </w:rPr>
        <w:t>(2023年度)</w:t>
      </w:r>
    </w:p>
    <w:p>
      <w:pPr>
        <w:spacing w:line="18" w:lineRule="exact"/>
      </w:pPr>
    </w:p>
    <w:tbl>
      <w:tblPr>
        <w:tblStyle w:val="4"/>
        <w:tblW w:w="9209" w:type="dxa"/>
        <w:tblInd w:w="2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84"/>
        <w:gridCol w:w="370"/>
        <w:gridCol w:w="799"/>
        <w:gridCol w:w="1738"/>
        <w:gridCol w:w="899"/>
        <w:gridCol w:w="602"/>
        <w:gridCol w:w="1216"/>
        <w:gridCol w:w="569"/>
        <w:gridCol w:w="440"/>
        <w:gridCol w:w="669"/>
        <w:gridCol w:w="15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51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转移支付名称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pStyle w:val="5"/>
              <w:jc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>优抚对象</w:t>
            </w:r>
            <w:r>
              <w:rPr>
                <w:rFonts w:hint="eastAsia" w:eastAsia="宋体"/>
                <w:sz w:val="21"/>
                <w:lang w:val="en-US" w:eastAsia="zh-CN"/>
              </w:rPr>
              <w:t>医疗补助</w:t>
            </w:r>
            <w:r>
              <w:rPr>
                <w:rFonts w:hint="eastAsia"/>
                <w:sz w:val="21"/>
              </w:rPr>
              <w:t>经费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47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3"/>
                <w:sz w:val="16"/>
                <w:szCs w:val="16"/>
              </w:rPr>
              <w:t>中央主管部门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pStyle w:val="5"/>
              <w:tabs>
                <w:tab w:val="left" w:pos="2092"/>
              </w:tabs>
              <w:spacing w:line="239" w:lineRule="exact"/>
              <w:rPr>
                <w:rFonts w:hint="default" w:eastAsia="宋体"/>
                <w:sz w:val="20"/>
                <w:lang w:val="en-US" w:eastAsia="zh-CN"/>
              </w:rPr>
            </w:pPr>
            <w:r>
              <w:rPr>
                <w:rFonts w:hint="eastAsia" w:eastAsia="宋体"/>
                <w:sz w:val="20"/>
                <w:lang w:eastAsia="zh-CN"/>
              </w:rPr>
              <w:tab/>
            </w:r>
            <w:r>
              <w:rPr>
                <w:rFonts w:hint="eastAsia" w:eastAsia="宋体"/>
                <w:sz w:val="20"/>
                <w:lang w:val="en-US" w:eastAsia="zh-CN"/>
              </w:rPr>
              <w:t>退役军人事务部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155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374" w:lineRule="auto"/>
              <w:rPr>
                <w:sz w:val="21"/>
              </w:rPr>
            </w:pPr>
          </w:p>
          <w:p>
            <w:pPr>
              <w:spacing w:before="52" w:line="220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资金投入情况</w:t>
            </w:r>
          </w:p>
          <w:p>
            <w:pPr>
              <w:spacing w:before="29" w:line="220" w:lineRule="auto"/>
              <w:ind w:left="5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8"/>
                <w:sz w:val="16"/>
                <w:szCs w:val="16"/>
              </w:rPr>
              <w:t>(万元)</w:t>
            </w:r>
          </w:p>
        </w:tc>
        <w:tc>
          <w:tcPr>
            <w:tcW w:w="1738" w:type="dxa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899" w:type="dxa"/>
            <w:vAlign w:val="top"/>
          </w:tcPr>
          <w:p>
            <w:pPr>
              <w:spacing w:before="148" w:line="219" w:lineRule="auto"/>
              <w:ind w:left="7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年初预算数</w:t>
            </w:r>
          </w:p>
        </w:tc>
        <w:tc>
          <w:tcPr>
            <w:tcW w:w="602" w:type="dxa"/>
            <w:vAlign w:val="top"/>
          </w:tcPr>
          <w:p>
            <w:pPr>
              <w:spacing w:before="38" w:line="219" w:lineRule="auto"/>
              <w:ind w:left="4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全年预算数</w:t>
            </w:r>
          </w:p>
          <w:p>
            <w:pPr>
              <w:spacing w:before="22" w:line="217" w:lineRule="auto"/>
              <w:ind w:left="32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8"/>
                <w:sz w:val="16"/>
                <w:szCs w:val="16"/>
              </w:rPr>
              <w:t>(A)</w:t>
            </w:r>
          </w:p>
        </w:tc>
        <w:tc>
          <w:tcPr>
            <w:tcW w:w="1216" w:type="dxa"/>
            <w:vAlign w:val="top"/>
          </w:tcPr>
          <w:p>
            <w:pPr>
              <w:spacing w:before="38" w:line="219" w:lineRule="auto"/>
              <w:ind w:left="4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全年执行数</w:t>
            </w:r>
          </w:p>
          <w:p>
            <w:pPr>
              <w:spacing w:before="22" w:line="217" w:lineRule="auto"/>
              <w:ind w:left="3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8"/>
                <w:sz w:val="16"/>
                <w:szCs w:val="16"/>
              </w:rPr>
              <w:t>(B)</w:t>
            </w:r>
          </w:p>
        </w:tc>
        <w:tc>
          <w:tcPr>
            <w:tcW w:w="569" w:type="dxa"/>
            <w:vAlign w:val="top"/>
          </w:tcPr>
          <w:p>
            <w:pPr>
              <w:spacing w:before="148" w:line="21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spacing w:before="38" w:line="219" w:lineRule="auto"/>
              <w:ind w:left="3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执行率</w:t>
            </w:r>
          </w:p>
          <w:p>
            <w:pPr>
              <w:spacing w:before="22" w:line="217" w:lineRule="auto"/>
              <w:ind w:left="10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(B/A×100%)</w:t>
            </w:r>
          </w:p>
        </w:tc>
        <w:tc>
          <w:tcPr>
            <w:tcW w:w="1523" w:type="dxa"/>
            <w:vAlign w:val="top"/>
          </w:tcPr>
          <w:p>
            <w:pPr>
              <w:spacing w:before="148" w:line="219" w:lineRule="auto"/>
              <w:ind w:left="59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19" w:line="185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年度资金总额：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222.9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222.9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154.74</w:t>
            </w:r>
          </w:p>
        </w:tc>
        <w:tc>
          <w:tcPr>
            <w:tcW w:w="569" w:type="dxa"/>
            <w:vAlign w:val="top"/>
          </w:tcPr>
          <w:p>
            <w:pPr>
              <w:spacing w:before="60" w:line="120" w:lineRule="exact"/>
              <w:ind w:left="196"/>
              <w:jc w:val="both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-5"/>
                <w:position w:val="-2"/>
                <w:sz w:val="15"/>
                <w:szCs w:val="15"/>
                <w:lang w:val="en-US" w:eastAsia="zh-CN"/>
              </w:rPr>
              <w:t>10</w:t>
            </w: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70%</w:t>
            </w:r>
          </w:p>
        </w:tc>
        <w:tc>
          <w:tcPr>
            <w:tcW w:w="1523" w:type="dxa"/>
            <w:vAlign w:val="top"/>
          </w:tcPr>
          <w:p>
            <w:pPr>
              <w:spacing w:before="60" w:line="120" w:lineRule="exact"/>
              <w:ind w:left="196" w:leftChars="0" w:firstLine="420" w:firstLineChars="3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pacing w:val="-5"/>
                <w:position w:val="-2"/>
                <w:sz w:val="15"/>
                <w:szCs w:val="15"/>
                <w:lang w:val="en-US" w:eastAsia="zh-CN"/>
              </w:rPr>
              <w:t>7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96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其中：中央财政资金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30.4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30.4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30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99%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4" w:lineRule="auto"/>
              <w:ind w:left="47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地方财政资金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59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59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5.7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4" w:lineRule="auto"/>
              <w:ind w:left="46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其他资金</w:t>
            </w:r>
          </w:p>
        </w:tc>
        <w:tc>
          <w:tcPr>
            <w:tcW w:w="89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133.5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133.5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119.04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109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89%</w:t>
            </w:r>
          </w:p>
        </w:tc>
        <w:tc>
          <w:tcPr>
            <w:tcW w:w="1523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1553" w:type="dxa"/>
            <w:gridSpan w:val="3"/>
            <w:vMerge w:val="restart"/>
            <w:tcBorders>
              <w:bottom w:val="nil"/>
            </w:tcBorders>
            <w:vAlign w:val="top"/>
          </w:tcPr>
          <w:p>
            <w:pPr>
              <w:pStyle w:val="5"/>
              <w:spacing w:line="290" w:lineRule="auto"/>
              <w:rPr>
                <w:sz w:val="21"/>
              </w:rPr>
            </w:pPr>
          </w:p>
          <w:p>
            <w:pPr>
              <w:pStyle w:val="5"/>
              <w:spacing w:line="291" w:lineRule="auto"/>
              <w:rPr>
                <w:sz w:val="21"/>
              </w:rPr>
            </w:pPr>
          </w:p>
          <w:p>
            <w:pPr>
              <w:pStyle w:val="5"/>
              <w:spacing w:line="291" w:lineRule="auto"/>
              <w:rPr>
                <w:sz w:val="21"/>
              </w:rPr>
            </w:pPr>
          </w:p>
          <w:p>
            <w:pPr>
              <w:spacing w:before="52" w:line="219" w:lineRule="auto"/>
              <w:ind w:left="28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资金管理情况</w:t>
            </w:r>
          </w:p>
        </w:tc>
        <w:tc>
          <w:tcPr>
            <w:tcW w:w="1738" w:type="dxa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717" w:type="dxa"/>
            <w:gridSpan w:val="3"/>
            <w:vAlign w:val="top"/>
          </w:tcPr>
          <w:p>
            <w:pPr>
              <w:spacing w:before="119" w:line="219" w:lineRule="auto"/>
              <w:ind w:left="1053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4"/>
                <w:sz w:val="16"/>
                <w:szCs w:val="16"/>
              </w:rPr>
              <w:t>情况说明</w:t>
            </w:r>
          </w:p>
        </w:tc>
        <w:tc>
          <w:tcPr>
            <w:tcW w:w="569" w:type="dxa"/>
            <w:vAlign w:val="top"/>
          </w:tcPr>
          <w:p>
            <w:pPr>
              <w:spacing w:before="9" w:line="19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  <w:p>
            <w:pPr>
              <w:spacing w:line="222" w:lineRule="auto"/>
              <w:ind w:left="12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7"/>
                <w:sz w:val="16"/>
                <w:szCs w:val="16"/>
              </w:rPr>
              <w:t>(40)</w:t>
            </w:r>
          </w:p>
        </w:tc>
        <w:tc>
          <w:tcPr>
            <w:tcW w:w="440" w:type="dxa"/>
            <w:vAlign w:val="top"/>
          </w:tcPr>
          <w:p>
            <w:pPr>
              <w:spacing w:before="119" w:line="219" w:lineRule="auto"/>
              <w:ind w:right="5"/>
              <w:jc w:val="right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19" w:line="219" w:lineRule="auto"/>
              <w:ind w:left="368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存在问题和改进措施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line="196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分配科学性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按年初规划和年度计划执行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rPr>
                <w:sz w:val="1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下达及时性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及时拨付项目资金，履行项目资金保障</w:t>
            </w:r>
          </w:p>
        </w:tc>
        <w:tc>
          <w:tcPr>
            <w:tcW w:w="569" w:type="dxa"/>
            <w:vAlign w:val="top"/>
          </w:tcPr>
          <w:p>
            <w:pPr>
              <w:spacing w:line="180" w:lineRule="exact"/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96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拨付合规性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实施过程中坚持不改变资金使用范围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0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2"/>
                <w:sz w:val="15"/>
                <w:szCs w:val="15"/>
              </w:rPr>
              <w:t>使用规范性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遵守项目资金分配、拨付、审批程序等制度</w:t>
            </w:r>
          </w:p>
        </w:tc>
        <w:tc>
          <w:tcPr>
            <w:tcW w:w="569" w:type="dxa"/>
            <w:vAlign w:val="top"/>
          </w:tcPr>
          <w:p>
            <w:pPr>
              <w:spacing w:line="179" w:lineRule="exact"/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79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9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执行准确性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专款专用，不挤占，不挪用，不截留</w:t>
            </w:r>
          </w:p>
        </w:tc>
        <w:tc>
          <w:tcPr>
            <w:tcW w:w="569" w:type="dxa"/>
            <w:vAlign w:val="top"/>
          </w:tcPr>
          <w:p>
            <w:pPr>
              <w:spacing w:line="190" w:lineRule="exact"/>
              <w:jc w:val="center"/>
              <w:rPr>
                <w:rFonts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83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预算绩效管理情况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良好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before="63" w:line="116" w:lineRule="exact"/>
              <w:ind w:firstLine="150" w:firstLineChars="10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1553" w:type="dxa"/>
            <w:gridSpan w:val="3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1" w:line="195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支出责任履行情况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spacing w:before="63" w:line="126" w:lineRule="exact"/>
              <w:ind w:left="236"/>
              <w:rPr>
                <w:rFonts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spacing w:before="63" w:line="126" w:lineRule="exact"/>
              <w:ind w:left="236" w:leftChars="0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sz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1553" w:type="dxa"/>
            <w:gridSpan w:val="3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1738" w:type="dxa"/>
            <w:vAlign w:val="top"/>
          </w:tcPr>
          <w:p>
            <w:pPr>
              <w:spacing w:before="22" w:line="182" w:lineRule="auto"/>
              <w:ind w:left="11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1"/>
                <w:sz w:val="15"/>
                <w:szCs w:val="15"/>
              </w:rPr>
              <w:t>政策目标实现情况</w:t>
            </w:r>
          </w:p>
        </w:tc>
        <w:tc>
          <w:tcPr>
            <w:tcW w:w="2717" w:type="dxa"/>
            <w:gridSpan w:val="3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b/>
                <w:bCs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良好</w:t>
            </w:r>
          </w:p>
        </w:tc>
        <w:tc>
          <w:tcPr>
            <w:tcW w:w="569" w:type="dxa"/>
            <w:vAlign w:val="top"/>
          </w:tcPr>
          <w:p>
            <w:pPr>
              <w:spacing w:before="63" w:line="116" w:lineRule="exact"/>
              <w:ind w:left="236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spacing w:before="63" w:line="116" w:lineRule="exact"/>
              <w:ind w:left="236" w:leftChars="0"/>
              <w:jc w:val="both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btLr"/>
            <w:vAlign w:val="top"/>
          </w:tcPr>
          <w:p>
            <w:pPr>
              <w:spacing w:before="41" w:line="176" w:lineRule="auto"/>
              <w:ind w:left="40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10"/>
                <w:sz w:val="36"/>
                <w:szCs w:val="36"/>
              </w:rPr>
              <w:t>靡麟</w:t>
            </w:r>
          </w:p>
        </w:tc>
        <w:tc>
          <w:tcPr>
            <w:tcW w:w="4408" w:type="dxa"/>
            <w:gridSpan w:val="5"/>
            <w:vAlign w:val="top"/>
          </w:tcPr>
          <w:p>
            <w:pPr>
              <w:spacing w:before="51" w:line="216" w:lineRule="auto"/>
              <w:ind w:left="204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总体目标</w:t>
            </w:r>
          </w:p>
        </w:tc>
        <w:tc>
          <w:tcPr>
            <w:tcW w:w="4417" w:type="dxa"/>
            <w:gridSpan w:val="5"/>
            <w:vAlign w:val="top"/>
          </w:tcPr>
          <w:p>
            <w:pPr>
              <w:spacing w:before="51" w:line="216" w:lineRule="auto"/>
              <w:ind w:left="1465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全年实际完成情况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 w:hRule="atLeast"/>
        </w:trPr>
        <w:tc>
          <w:tcPr>
            <w:tcW w:w="384" w:type="dxa"/>
            <w:vMerge w:val="continue"/>
            <w:tcBorders>
              <w:top w:val="nil"/>
            </w:tcBorders>
            <w:textDirection w:val="btLr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4408" w:type="dxa"/>
            <w:gridSpan w:val="5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认真贯彻落实了各项拥军优抚政策法规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全面落实优抚对象医疗保障政策，确保优抚对象患病能及时医治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  <w:lang w:val="en-US" w:eastAsia="zh-CN"/>
              </w:rPr>
              <w:t>报销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，确保医疗补助资金专款专用。</w:t>
            </w:r>
          </w:p>
        </w:tc>
        <w:tc>
          <w:tcPr>
            <w:tcW w:w="4417" w:type="dxa"/>
            <w:gridSpan w:val="5"/>
            <w:vAlign w:val="top"/>
          </w:tcPr>
          <w:p>
            <w:pPr>
              <w:pStyle w:val="5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认真贯彻落实了各项拥军优抚政策法规，切实为优抚对象办实事，解难题，有效解决了优抚对象医疗难等显著问题，使优抚对象的合法权益得到切实保障。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 w:hRule="atLeast"/>
        </w:trPr>
        <w:tc>
          <w:tcPr>
            <w:tcW w:w="384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29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绩效指标</w:t>
            </w:r>
          </w:p>
        </w:tc>
        <w:tc>
          <w:tcPr>
            <w:tcW w:w="370" w:type="dxa"/>
            <w:vAlign w:val="top"/>
          </w:tcPr>
          <w:p>
            <w:pPr>
              <w:spacing w:before="25" w:line="204" w:lineRule="auto"/>
              <w:ind w:left="11" w:right="17" w:firstLine="19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一级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799" w:type="dxa"/>
            <w:vAlign w:val="top"/>
          </w:tcPr>
          <w:p>
            <w:pPr>
              <w:spacing w:before="124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二级指标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spacing w:before="124" w:line="220" w:lineRule="auto"/>
              <w:ind w:left="1032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三级指标</w:t>
            </w:r>
          </w:p>
        </w:tc>
        <w:tc>
          <w:tcPr>
            <w:tcW w:w="602" w:type="dxa"/>
            <w:vAlign w:val="top"/>
          </w:tcPr>
          <w:p>
            <w:pPr>
              <w:spacing w:before="123" w:line="219" w:lineRule="auto"/>
              <w:ind w:left="2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指标值</w:t>
            </w:r>
          </w:p>
        </w:tc>
        <w:tc>
          <w:tcPr>
            <w:tcW w:w="1216" w:type="dxa"/>
            <w:vAlign w:val="top"/>
          </w:tcPr>
          <w:p>
            <w:pPr>
              <w:spacing w:before="13" w:line="211" w:lineRule="auto"/>
              <w:ind w:left="295" w:right="59" w:hanging="25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全年实际完</w:t>
            </w: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成值</w:t>
            </w:r>
          </w:p>
        </w:tc>
        <w:tc>
          <w:tcPr>
            <w:tcW w:w="569" w:type="dxa"/>
            <w:vAlign w:val="top"/>
          </w:tcPr>
          <w:p>
            <w:pPr>
              <w:spacing w:before="123" w:line="219" w:lineRule="auto"/>
              <w:ind w:left="116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分值</w:t>
            </w:r>
          </w:p>
        </w:tc>
        <w:tc>
          <w:tcPr>
            <w:tcW w:w="440" w:type="dxa"/>
            <w:vAlign w:val="top"/>
          </w:tcPr>
          <w:p>
            <w:pPr>
              <w:spacing w:before="123" w:line="219" w:lineRule="auto"/>
              <w:ind w:left="2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得分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spacing w:before="123" w:line="219" w:lineRule="auto"/>
              <w:ind w:left="287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1"/>
                <w:sz w:val="16"/>
                <w:szCs w:val="16"/>
              </w:rPr>
              <w:t>未完成原因和改进措施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9" w:line="216" w:lineRule="auto"/>
              <w:ind w:left="100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产出指标</w:t>
            </w: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数量指标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优抚对象医疗补助资金发放数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222.91万元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154.76万元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6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优抚对象享受医疗补助的人数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728人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728人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35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质量指标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发放率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70%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覆盖率</w:t>
            </w:r>
          </w:p>
        </w:tc>
        <w:tc>
          <w:tcPr>
            <w:tcW w:w="602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资金到位率</w:t>
            </w: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225" w:line="220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1"/>
                <w:sz w:val="16"/>
                <w:szCs w:val="16"/>
              </w:rPr>
              <w:t>时效指标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资金及时拨付率</w:t>
            </w: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9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9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602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224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成本指标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优抚对象医疗保障经费按政策规定标准</w:t>
            </w:r>
          </w:p>
        </w:tc>
        <w:tc>
          <w:tcPr>
            <w:tcW w:w="602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1216" w:type="dxa"/>
            <w:vAlign w:val="top"/>
          </w:tcPr>
          <w:p>
            <w:pPr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restart"/>
            <w:tcBorders>
              <w:bottom w:val="nil"/>
            </w:tcBorders>
            <w:textDirection w:val="tbRlV"/>
            <w:vAlign w:val="top"/>
          </w:tcPr>
          <w:p>
            <w:pPr>
              <w:spacing w:before="108" w:line="217" w:lineRule="auto"/>
              <w:ind w:left="98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效益指标</w:t>
            </w: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25" w:line="220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经济效益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无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restart"/>
            <w:tcBorders>
              <w:bottom w:val="nil"/>
            </w:tcBorders>
            <w:vAlign w:val="top"/>
          </w:tcPr>
          <w:p>
            <w:pPr>
              <w:spacing w:before="134" w:line="215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社会效益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保障优抚对象医疗水平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不断提高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  <w:bottom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减轻优抚对象看病负担，促进社会和谐稳定</w:t>
            </w:r>
          </w:p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效果显著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vMerge w:val="continue"/>
            <w:tcBorders>
              <w:top w:val="nil"/>
            </w:tcBorders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15"/>
                <w:szCs w:val="15"/>
                <w:shd w:val="clear" w:fill="FFFFFF"/>
              </w:rPr>
              <w:t>保障国家拥军优抚政策落实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良好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8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8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46" w:line="208" w:lineRule="auto"/>
              <w:ind w:left="230" w:right="85" w:hanging="16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生态效益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无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569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440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7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9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115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可持续影</w:t>
            </w:r>
          </w:p>
          <w:p>
            <w:pPr>
              <w:spacing w:before="10" w:line="220" w:lineRule="auto"/>
              <w:ind w:left="15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2"/>
                <w:sz w:val="16"/>
                <w:szCs w:val="16"/>
              </w:rPr>
              <w:t>响指标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sz w:val="15"/>
                <w:szCs w:val="15"/>
              </w:rPr>
              <w:t>持续做好对</w:t>
            </w: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各类优抚对象</w:t>
            </w:r>
            <w:r>
              <w:rPr>
                <w:rFonts w:hint="eastAsia" w:ascii="宋体" w:hAnsi="宋体" w:eastAsia="宋体" w:cs="宋体"/>
                <w:sz w:val="15"/>
                <w:szCs w:val="15"/>
              </w:rPr>
              <w:t>的关心爱护</w:t>
            </w:r>
            <w:bookmarkEnd w:id="0"/>
          </w:p>
        </w:tc>
        <w:tc>
          <w:tcPr>
            <w:tcW w:w="602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  <w:t>持续稳步推进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70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en-US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100%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8" w:lineRule="exact"/>
              <w:jc w:val="center"/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15"/>
                <w:szCs w:val="15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8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</w:trPr>
        <w:tc>
          <w:tcPr>
            <w:tcW w:w="384" w:type="dxa"/>
            <w:vMerge w:val="continue"/>
            <w:tcBorders>
              <w:top w:val="nil"/>
              <w:bottom w:val="nil"/>
            </w:tcBorders>
            <w:textDirection w:val="tbRlV"/>
            <w:vAlign w:val="top"/>
          </w:tcPr>
          <w:p>
            <w:pPr>
              <w:pStyle w:val="5"/>
              <w:rPr>
                <w:sz w:val="21"/>
              </w:rPr>
            </w:pPr>
          </w:p>
        </w:tc>
        <w:tc>
          <w:tcPr>
            <w:tcW w:w="370" w:type="dxa"/>
            <w:tcBorders>
              <w:bottom w:val="nil"/>
            </w:tcBorders>
            <w:vAlign w:val="top"/>
          </w:tcPr>
          <w:p>
            <w:pPr>
              <w:spacing w:before="136" w:line="208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满意</w:t>
            </w:r>
          </w:p>
          <w:p>
            <w:pPr>
              <w:spacing w:line="220" w:lineRule="auto"/>
              <w:ind w:left="11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度指</w:t>
            </w:r>
          </w:p>
          <w:p>
            <w:pPr>
              <w:spacing w:before="9" w:line="220" w:lineRule="auto"/>
              <w:ind w:left="9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标</w:t>
            </w:r>
          </w:p>
        </w:tc>
        <w:tc>
          <w:tcPr>
            <w:tcW w:w="799" w:type="dxa"/>
            <w:tcBorders>
              <w:bottom w:val="nil"/>
            </w:tcBorders>
            <w:vAlign w:val="top"/>
          </w:tcPr>
          <w:p>
            <w:pPr>
              <w:spacing w:before="36" w:line="219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服务对象</w:t>
            </w:r>
          </w:p>
          <w:p>
            <w:pPr>
              <w:spacing w:before="9" w:line="197" w:lineRule="auto"/>
              <w:ind w:left="7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2"/>
                <w:sz w:val="16"/>
                <w:szCs w:val="16"/>
              </w:rPr>
              <w:t>满意度指</w:t>
            </w:r>
          </w:p>
          <w:p>
            <w:pPr>
              <w:spacing w:line="211" w:lineRule="auto"/>
              <w:ind w:left="310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z w:val="16"/>
                <w:szCs w:val="16"/>
              </w:rPr>
              <w:t>标</w:t>
            </w:r>
          </w:p>
        </w:tc>
        <w:tc>
          <w:tcPr>
            <w:tcW w:w="2637" w:type="dxa"/>
            <w:gridSpan w:val="2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优抚对象满意率</w:t>
            </w:r>
          </w:p>
        </w:tc>
        <w:tc>
          <w:tcPr>
            <w:tcW w:w="602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≥90%</w:t>
            </w:r>
          </w:p>
        </w:tc>
        <w:tc>
          <w:tcPr>
            <w:tcW w:w="1216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</w:rPr>
              <w:t>98%</w:t>
            </w:r>
          </w:p>
        </w:tc>
        <w:tc>
          <w:tcPr>
            <w:tcW w:w="569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190" w:lineRule="exact"/>
              <w:jc w:val="center"/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5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190" w:lineRule="exact"/>
              <w:rPr>
                <w:rFonts w:hint="eastAsia" w:ascii="宋体" w:hAnsi="宋体" w:eastAsia="宋体" w:cs="宋体"/>
                <w:sz w:val="16"/>
                <w:szCs w:val="1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6008" w:type="dxa"/>
            <w:gridSpan w:val="7"/>
            <w:vAlign w:val="top"/>
          </w:tcPr>
          <w:p>
            <w:pPr>
              <w:spacing w:before="47" w:line="211" w:lineRule="auto"/>
              <w:ind w:left="286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-3"/>
                <w:sz w:val="16"/>
                <w:szCs w:val="16"/>
              </w:rPr>
              <w:t>总分</w:t>
            </w:r>
          </w:p>
        </w:tc>
        <w:tc>
          <w:tcPr>
            <w:tcW w:w="569" w:type="dxa"/>
            <w:vAlign w:val="top"/>
          </w:tcPr>
          <w:p>
            <w:pPr>
              <w:spacing w:before="87" w:line="165" w:lineRule="auto"/>
              <w:ind w:left="157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spacing w:val="-5"/>
                <w:sz w:val="15"/>
                <w:szCs w:val="15"/>
              </w:rPr>
              <w:t>100</w:t>
            </w:r>
          </w:p>
        </w:tc>
        <w:tc>
          <w:tcPr>
            <w:tcW w:w="440" w:type="dxa"/>
            <w:vAlign w:val="top"/>
          </w:tcPr>
          <w:p>
            <w:pPr>
              <w:pStyle w:val="5"/>
              <w:spacing w:line="230" w:lineRule="exact"/>
              <w:jc w:val="center"/>
              <w:rPr>
                <w:rFonts w:hint="default" w:ascii="宋体" w:hAnsi="宋体" w:eastAsia="宋体" w:cs="宋体"/>
                <w:sz w:val="15"/>
                <w:szCs w:val="15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5"/>
                <w:szCs w:val="15"/>
                <w:lang w:val="en-US" w:eastAsia="zh-CN"/>
              </w:rPr>
              <w:t>94</w:t>
            </w:r>
          </w:p>
        </w:tc>
        <w:tc>
          <w:tcPr>
            <w:tcW w:w="2192" w:type="dxa"/>
            <w:gridSpan w:val="2"/>
            <w:vAlign w:val="top"/>
          </w:tcPr>
          <w:p>
            <w:pPr>
              <w:pStyle w:val="5"/>
              <w:spacing w:line="230" w:lineRule="exact"/>
              <w:rPr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" w:hRule="atLeast"/>
        </w:trPr>
        <w:tc>
          <w:tcPr>
            <w:tcW w:w="1553" w:type="dxa"/>
            <w:gridSpan w:val="3"/>
            <w:vAlign w:val="top"/>
          </w:tcPr>
          <w:p>
            <w:pPr>
              <w:spacing w:before="106" w:line="219" w:lineRule="auto"/>
              <w:ind w:left="604"/>
              <w:rPr>
                <w:rFonts w:ascii="宋体" w:hAnsi="宋体" w:eastAsia="宋体" w:cs="宋体"/>
                <w:sz w:val="16"/>
                <w:szCs w:val="16"/>
              </w:rPr>
            </w:pPr>
            <w:r>
              <w:rPr>
                <w:rFonts w:ascii="宋体" w:hAnsi="宋体" w:eastAsia="宋体" w:cs="宋体"/>
                <w:spacing w:val="8"/>
                <w:sz w:val="16"/>
                <w:szCs w:val="16"/>
              </w:rPr>
              <w:t>说明</w:t>
            </w:r>
          </w:p>
        </w:tc>
        <w:tc>
          <w:tcPr>
            <w:tcW w:w="7656" w:type="dxa"/>
            <w:gridSpan w:val="8"/>
            <w:vAlign w:val="top"/>
          </w:tcPr>
          <w:p>
            <w:pPr>
              <w:spacing w:before="16" w:line="185" w:lineRule="auto"/>
              <w:ind w:left="11"/>
              <w:rPr>
                <w:rFonts w:ascii="宋体" w:hAnsi="宋体" w:eastAsia="宋体" w:cs="宋体"/>
                <w:sz w:val="17"/>
                <w:szCs w:val="17"/>
              </w:rPr>
            </w:pPr>
            <w:r>
              <w:rPr>
                <w:rFonts w:ascii="宋体" w:hAnsi="宋体" w:eastAsia="宋体" w:cs="宋体"/>
                <w:spacing w:val="-4"/>
                <w:sz w:val="16"/>
                <w:szCs w:val="16"/>
              </w:rPr>
              <w:t>请在此处简要说明中央巡视、各级审计和财会监督中发现的问题及其所涉及的金额以及</w:t>
            </w:r>
            <w:r>
              <w:rPr>
                <w:rFonts w:ascii="宋体" w:hAnsi="宋体" w:eastAsia="宋体" w:cs="宋体"/>
                <w:spacing w:val="-5"/>
                <w:sz w:val="16"/>
                <w:szCs w:val="16"/>
              </w:rPr>
              <w:t>绩效自评扣分情况，如没</w:t>
            </w:r>
            <w:r>
              <w:rPr>
                <w:rFonts w:ascii="宋体" w:hAnsi="宋体" w:eastAsia="宋体" w:cs="宋体"/>
                <w:sz w:val="16"/>
                <w:szCs w:val="16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17"/>
                <w:szCs w:val="17"/>
              </w:rPr>
              <w:t>有请填无。</w:t>
            </w:r>
          </w:p>
        </w:tc>
      </w:tr>
    </w:tbl>
    <w:p>
      <w:pPr>
        <w:spacing w:before="19" w:line="219" w:lineRule="auto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z w:val="16"/>
          <w:szCs w:val="16"/>
        </w:rPr>
        <w:t>注：1.该表由中央主管部门填写，</w:t>
      </w:r>
    </w:p>
    <w:p>
      <w:pPr>
        <w:spacing w:before="69" w:line="219" w:lineRule="auto"/>
        <w:ind w:left="28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6"/>
          <w:sz w:val="16"/>
          <w:szCs w:val="16"/>
        </w:rPr>
        <w:t>2.其他资金包括与中央财政资金、地方财政资金共同投入的自有</w:t>
      </w:r>
      <w:r>
        <w:rPr>
          <w:rFonts w:ascii="宋体" w:hAnsi="宋体" w:eastAsia="宋体" w:cs="宋体"/>
          <w:spacing w:val="-7"/>
          <w:sz w:val="16"/>
          <w:szCs w:val="16"/>
        </w:rPr>
        <w:t>资金、社会资金，以及以前年度的结转结余资金等。</w:t>
      </w:r>
    </w:p>
    <w:p>
      <w:pPr>
        <w:spacing w:before="50" w:line="208" w:lineRule="auto"/>
        <w:ind w:left="28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7"/>
          <w:sz w:val="16"/>
          <w:szCs w:val="16"/>
        </w:rPr>
        <w:t>3.资金管理情况需汇总反映各级政府的资金管理情况，对违反预算管理规定行为的，原则上每发现1例扣0.5分，扣完</w:t>
      </w:r>
      <w:r>
        <w:rPr>
          <w:rFonts w:ascii="宋体" w:hAnsi="宋体" w:eastAsia="宋体" w:cs="宋体"/>
          <w:spacing w:val="-8"/>
          <w:sz w:val="16"/>
          <w:szCs w:val="16"/>
        </w:rPr>
        <w:t>为止。</w:t>
      </w:r>
    </w:p>
    <w:p>
      <w:pPr>
        <w:spacing w:before="1" w:line="213" w:lineRule="auto"/>
        <w:ind w:left="9" w:right="155" w:firstLine="27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5"/>
          <w:sz w:val="16"/>
          <w:szCs w:val="16"/>
        </w:rPr>
        <w:t>4. 专项转移支付无需填写“支出责任</w:t>
      </w:r>
      <w:r>
        <w:rPr>
          <w:rFonts w:hint="eastAsia" w:ascii="宋体" w:hAnsi="宋体" w:eastAsia="宋体" w:cs="宋体"/>
          <w:spacing w:val="-5"/>
          <w:sz w:val="16"/>
          <w:szCs w:val="16"/>
          <w:lang w:eastAsia="zh-CN"/>
        </w:rPr>
        <w:t>履行</w:t>
      </w:r>
      <w:r>
        <w:rPr>
          <w:rFonts w:ascii="宋体" w:hAnsi="宋体" w:eastAsia="宋体" w:cs="宋体"/>
          <w:spacing w:val="-5"/>
          <w:sz w:val="16"/>
          <w:szCs w:val="16"/>
        </w:rPr>
        <w:t>情况”项，相关分值(5分)分排到“分</w:t>
      </w:r>
      <w:r>
        <w:rPr>
          <w:rFonts w:ascii="宋体" w:hAnsi="宋体" w:eastAsia="宋体" w:cs="宋体"/>
          <w:spacing w:val="-6"/>
          <w:sz w:val="16"/>
          <w:szCs w:val="16"/>
        </w:rPr>
        <w:t>配科学性”、“下达及时性”、“拨付合规性”、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9"/>
          <w:sz w:val="16"/>
          <w:szCs w:val="16"/>
        </w:rPr>
        <w:t>“使用规范性”和“政策目标实现情况”等5项上。</w:t>
      </w:r>
    </w:p>
    <w:p>
      <w:pPr>
        <w:spacing w:before="31" w:line="228" w:lineRule="auto"/>
        <w:ind w:left="20" w:right="55" w:firstLine="260"/>
        <w:rPr>
          <w:rFonts w:ascii="宋体" w:hAnsi="宋体" w:eastAsia="宋体" w:cs="宋体"/>
          <w:sz w:val="16"/>
          <w:szCs w:val="16"/>
        </w:rPr>
      </w:pPr>
      <w:r>
        <w:rPr>
          <w:rFonts w:ascii="宋体" w:hAnsi="宋体" w:eastAsia="宋体" w:cs="宋体"/>
          <w:spacing w:val="-8"/>
          <w:sz w:val="16"/>
          <w:szCs w:val="16"/>
        </w:rPr>
        <w:t>5.</w:t>
      </w:r>
      <w:r>
        <w:rPr>
          <w:rFonts w:ascii="宋体" w:hAnsi="宋体" w:eastAsia="宋体" w:cs="宋体"/>
          <w:spacing w:val="-21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8"/>
          <w:sz w:val="16"/>
          <w:szCs w:val="16"/>
        </w:rPr>
        <w:t>中央主管部门商财政部主管司局确定各项绩效指标分值</w:t>
      </w:r>
      <w:r>
        <w:rPr>
          <w:rFonts w:hint="eastAsia" w:ascii="宋体" w:hAnsi="宋体" w:eastAsia="宋体" w:cs="宋体"/>
          <w:spacing w:val="-8"/>
          <w:sz w:val="16"/>
          <w:szCs w:val="16"/>
          <w:lang w:eastAsia="zh-CN"/>
        </w:rPr>
        <w:t>权力</w:t>
      </w:r>
      <w:r>
        <w:rPr>
          <w:rFonts w:ascii="宋体" w:hAnsi="宋体" w:eastAsia="宋体" w:cs="宋体"/>
          <w:spacing w:val="-8"/>
          <w:sz w:val="16"/>
          <w:szCs w:val="16"/>
        </w:rPr>
        <w:t>，并根据全年实际完成情况填写得分，各项指标得分加总形成该转移支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付绩效自评总分，原则上，</w:t>
      </w:r>
      <w:r>
        <w:rPr>
          <w:rFonts w:ascii="宋体" w:hAnsi="宋体" w:eastAsia="宋体" w:cs="宋体"/>
          <w:spacing w:val="40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一级指标分值设置为；资金投入情况10</w:t>
      </w:r>
      <w:r>
        <w:rPr>
          <w:rFonts w:ascii="宋体" w:hAnsi="宋体" w:eastAsia="宋体" w:cs="宋体"/>
          <w:spacing w:val="-8"/>
          <w:sz w:val="16"/>
          <w:szCs w:val="16"/>
        </w:rPr>
        <w:t>分、资金管理情况40分、产出指标30分、效益指标15分、满意度指标5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3"/>
          <w:sz w:val="16"/>
          <w:szCs w:val="16"/>
        </w:rPr>
        <w:t>分。如有特殊情况，除资金投入情况、资金管理情况外，其他指标分值权重可适当调整(</w:t>
      </w:r>
      <w:r>
        <w:rPr>
          <w:rFonts w:ascii="宋体" w:hAnsi="宋体" w:eastAsia="宋体" w:cs="宋体"/>
          <w:spacing w:val="-4"/>
          <w:sz w:val="16"/>
          <w:szCs w:val="16"/>
        </w:rPr>
        <w:t>总分应为100分)。巡视、审计和财会监督中发</w:t>
      </w:r>
      <w:r>
        <w:rPr>
          <w:rFonts w:ascii="宋体" w:hAnsi="宋体" w:eastAsia="宋体" w:cs="宋体"/>
          <w:sz w:val="16"/>
          <w:szCs w:val="16"/>
        </w:rPr>
        <w:t xml:space="preserve"> </w:t>
      </w:r>
      <w:r>
        <w:rPr>
          <w:rFonts w:ascii="宋体" w:hAnsi="宋体" w:eastAsia="宋体" w:cs="宋体"/>
          <w:spacing w:val="-7"/>
          <w:sz w:val="16"/>
          <w:szCs w:val="16"/>
        </w:rPr>
        <w:t>现问题的应酌情扣分。</w:t>
      </w:r>
    </w:p>
    <w:p/>
    <w:sectPr>
      <w:footerReference r:id="rId5" w:type="default"/>
      <w:pgSz w:w="12060" w:h="16950"/>
      <w:pgMar w:top="1276" w:right="1464" w:bottom="400" w:left="1360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RmMTY1MDQyMmFhZjQxNjExMmE1NzYxMjMzYzkwNjAifQ=="/>
  </w:docVars>
  <w:rsids>
    <w:rsidRoot w:val="0B503E60"/>
    <w:rsid w:val="0B503E60"/>
    <w:rsid w:val="227A7A89"/>
    <w:rsid w:val="2D0B6616"/>
    <w:rsid w:val="44847F71"/>
    <w:rsid w:val="7A5E04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5">
    <w:name w:val="Table Text"/>
    <w:basedOn w:val="1"/>
    <w:semiHidden/>
    <w:qFormat/>
    <w:uiPriority w:val="0"/>
    <w:rPr>
      <w:rFonts w:ascii="Arial" w:hAnsi="Arial" w:eastAsia="Arial" w:cs="Arial"/>
      <w:sz w:val="15"/>
      <w:szCs w:val="15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1199</Words>
  <Characters>1344</Characters>
  <Lines>0</Lines>
  <Paragraphs>0</Paragraphs>
  <TotalTime>15</TotalTime>
  <ScaleCrop>false</ScaleCrop>
  <LinksUpToDate>false</LinksUpToDate>
  <CharactersWithSpaces>1358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2024-06-07T01:52:00Z</dcterms:created>
  <dc:creator>小姑娘</dc:creator>
  <cp:lastModifiedBy>小姑娘</cp:lastModifiedBy>
  <dcterms:modified xsi:type="dcterms:W3CDTF">2024-06-07T08:40:30Z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764D0ED48DA647689EB2691229C70287_11</vt:lpwstr>
  </property>
</Properties>
</file>