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临河区2023年度中央对地方重大传染病防控经费</w:t>
      </w:r>
      <w:r>
        <w:rPr>
          <w:rFonts w:hint="eastAsia" w:ascii="方正小标宋简体" w:hAnsi="方正小标宋简体" w:eastAsia="方正小标宋简体" w:cs="方正小标宋简体"/>
          <w:b w:val="0"/>
          <w:bCs w:val="0"/>
          <w:sz w:val="44"/>
          <w:szCs w:val="44"/>
        </w:rPr>
        <w:t>转移支付绩效自评报告</w:t>
      </w:r>
      <w:bookmarkStart w:id="0" w:name="_GoBack"/>
      <w:bookmarkEnd w:id="0"/>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b/>
          <w:bCs/>
          <w:sz w:val="32"/>
          <w:szCs w:val="32"/>
        </w:rPr>
      </w:pP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一、绩效目标分解下达情况</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outlineLvl w:val="9"/>
        <w:rPr>
          <w:rFonts w:hint="eastAsia"/>
          <w:lang w:val="en-US" w:eastAsia="zh-CN"/>
        </w:rPr>
      </w:pPr>
      <w:r>
        <w:rPr>
          <w:rFonts w:hint="eastAsia"/>
          <w:lang w:val="en-US" w:eastAsia="zh-CN"/>
        </w:rPr>
        <w:t xml:space="preserve"> </w:t>
      </w:r>
      <w:r>
        <w:rPr>
          <w:rFonts w:hint="eastAsia" w:ascii="仿宋" w:hAnsi="仿宋" w:eastAsia="仿宋" w:cs="仿宋"/>
          <w:sz w:val="32"/>
          <w:szCs w:val="32"/>
          <w:lang w:val="en-US" w:eastAsia="zh-CN"/>
        </w:rPr>
        <w:t>本年度下达重大传染病防控中央财政经费293.6万元，全年执行数98.2286万元，</w:t>
      </w:r>
      <w:r>
        <w:rPr>
          <w:rFonts w:hint="eastAsia" w:ascii="仿宋" w:hAnsi="仿宋" w:eastAsia="仿宋" w:cs="仿宋"/>
          <w:sz w:val="32"/>
          <w:szCs w:val="32"/>
        </w:rPr>
        <w:t>其中中央财政资金</w:t>
      </w:r>
      <w:r>
        <w:rPr>
          <w:rFonts w:hint="eastAsia" w:ascii="仿宋" w:hAnsi="仿宋" w:eastAsia="仿宋" w:cs="仿宋"/>
          <w:sz w:val="32"/>
          <w:szCs w:val="32"/>
          <w:lang w:val="en-US" w:eastAsia="zh-CN"/>
        </w:rPr>
        <w:t>98.2286万元，用于艾滋病监测预防、国家扩大免疫规划、</w:t>
      </w:r>
      <w:r>
        <w:rPr>
          <w:rFonts w:hint="default" w:ascii="仿宋" w:hAnsi="仿宋" w:eastAsia="仿宋" w:cs="仿宋"/>
          <w:spacing w:val="1"/>
          <w:sz w:val="30"/>
          <w:szCs w:val="30"/>
        </w:rPr>
        <w:t>慢性病及其危险因素监测</w:t>
      </w:r>
      <w:r>
        <w:rPr>
          <w:rFonts w:hint="eastAsia" w:ascii="仿宋" w:hAnsi="仿宋" w:eastAsia="仿宋" w:cs="仿宋"/>
          <w:spacing w:val="1"/>
          <w:sz w:val="30"/>
          <w:szCs w:val="30"/>
          <w:lang w:eastAsia="zh-CN"/>
        </w:rPr>
        <w:t>、</w:t>
      </w:r>
      <w:r>
        <w:rPr>
          <w:rFonts w:hint="eastAsia" w:ascii="仿宋" w:hAnsi="仿宋" w:eastAsia="仿宋" w:cs="仿宋"/>
          <w:spacing w:val="1"/>
          <w:sz w:val="30"/>
          <w:szCs w:val="30"/>
          <w:lang w:val="en-US" w:eastAsia="zh-CN"/>
        </w:rPr>
        <w:t>学生常见病监测、</w:t>
      </w:r>
      <w:r>
        <w:rPr>
          <w:rFonts w:hint="eastAsia" w:ascii="仿宋" w:hAnsi="仿宋" w:eastAsia="仿宋" w:cs="仿宋"/>
          <w:sz w:val="32"/>
          <w:szCs w:val="32"/>
          <w:lang w:val="en-US" w:eastAsia="zh-CN"/>
        </w:rPr>
        <w:t>新冠本土变异监测、新冠扩大哨点监测、食品安全监测、精神卫生、儿童口腔疾病综合干预、城市癌症早诊早治等项目，全年开展查漏补种，提高疫苗接种率，完成麻疹、风疹AFP病例监测任务，完成入托入学查验证工作。慢性病综合防控工作，死因报告检测率大于6‰，肿瘤报告率大于4‰，监测慢性病人数达到720人。做到艾滋病随访检测率90%，配偶检测90%，流调质量100%，抗病毒治疗比例95%。</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二、绩效情况分析</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4" w:firstLineChars="200"/>
        <w:jc w:val="left"/>
        <w:textAlignment w:val="auto"/>
        <w:outlineLvl w:val="9"/>
        <w:rPr>
          <w:rFonts w:hint="eastAsia" w:ascii="仿宋" w:hAnsi="仿宋" w:eastAsia="仿宋" w:cs="仿宋"/>
          <w:spacing w:val="1"/>
          <w:sz w:val="30"/>
          <w:szCs w:val="30"/>
        </w:rPr>
      </w:pPr>
      <w:r>
        <w:rPr>
          <w:rFonts w:hint="eastAsia" w:ascii="仿宋" w:hAnsi="仿宋" w:eastAsia="仿宋" w:cs="仿宋"/>
          <w:spacing w:val="1"/>
          <w:sz w:val="30"/>
          <w:szCs w:val="30"/>
        </w:rPr>
        <w:t>(一)资金投入情况分析。</w:t>
      </w:r>
      <w:r>
        <w:rPr>
          <w:rFonts w:hint="eastAsia" w:ascii="仿宋" w:hAnsi="仿宋" w:eastAsia="仿宋" w:cs="仿宋"/>
          <w:spacing w:val="1"/>
          <w:sz w:val="30"/>
          <w:szCs w:val="30"/>
          <w:lang w:val="en-US" w:eastAsia="zh-CN"/>
        </w:rPr>
        <w:t>本年度资金年初预算数293.6</w:t>
      </w:r>
      <w:r>
        <w:rPr>
          <w:rFonts w:hint="default" w:ascii="仿宋" w:hAnsi="仿宋" w:eastAsia="仿宋" w:cs="仿宋"/>
          <w:spacing w:val="1"/>
          <w:sz w:val="30"/>
          <w:szCs w:val="30"/>
        </w:rPr>
        <w:t>万元，其中：财政拨款</w:t>
      </w:r>
      <w:r>
        <w:rPr>
          <w:rFonts w:hint="eastAsia" w:ascii="仿宋" w:hAnsi="仿宋" w:eastAsia="仿宋" w:cs="仿宋"/>
          <w:spacing w:val="1"/>
          <w:sz w:val="30"/>
          <w:szCs w:val="30"/>
          <w:lang w:val="en-US" w:eastAsia="zh-CN"/>
        </w:rPr>
        <w:t>293.6</w:t>
      </w:r>
      <w:r>
        <w:rPr>
          <w:rFonts w:hint="default" w:ascii="仿宋" w:hAnsi="仿宋" w:eastAsia="仿宋" w:cs="仿宋"/>
          <w:spacing w:val="1"/>
          <w:sz w:val="30"/>
          <w:szCs w:val="30"/>
        </w:rPr>
        <w:t>万元，其他资金0.00万元。</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04" w:firstLineChars="200"/>
        <w:jc w:val="left"/>
        <w:textAlignment w:val="auto"/>
        <w:outlineLvl w:val="9"/>
        <w:rPr>
          <w:rFonts w:hint="default" w:ascii="仿宋" w:hAnsi="仿宋" w:eastAsia="仿宋" w:cs="仿宋"/>
          <w:spacing w:val="1"/>
          <w:sz w:val="30"/>
          <w:szCs w:val="30"/>
        </w:rPr>
      </w:pPr>
      <w:r>
        <w:rPr>
          <w:rFonts w:hint="eastAsia" w:ascii="仿宋" w:hAnsi="仿宋" w:eastAsia="仿宋" w:cs="仿宋"/>
          <w:spacing w:val="1"/>
          <w:sz w:val="30"/>
          <w:szCs w:val="30"/>
        </w:rPr>
        <w:t>(二)资金管理情况分析。</w:t>
      </w:r>
      <w:r>
        <w:rPr>
          <w:rFonts w:hint="default" w:ascii="仿宋" w:hAnsi="仿宋" w:eastAsia="仿宋" w:cs="仿宋"/>
          <w:spacing w:val="1"/>
          <w:sz w:val="30"/>
          <w:szCs w:val="30"/>
        </w:rPr>
        <w:t>2023年重大传染病项目安排财政补助资金</w:t>
      </w:r>
      <w:r>
        <w:rPr>
          <w:rFonts w:hint="eastAsia" w:ascii="仿宋" w:hAnsi="仿宋" w:eastAsia="仿宋" w:cs="仿宋"/>
          <w:spacing w:val="1"/>
          <w:sz w:val="30"/>
          <w:szCs w:val="30"/>
          <w:lang w:val="en-US" w:eastAsia="zh-CN"/>
        </w:rPr>
        <w:t>293.6</w:t>
      </w:r>
      <w:r>
        <w:rPr>
          <w:rFonts w:hint="default" w:ascii="仿宋" w:hAnsi="仿宋" w:eastAsia="仿宋" w:cs="仿宋"/>
          <w:spacing w:val="1"/>
          <w:sz w:val="30"/>
          <w:szCs w:val="30"/>
        </w:rPr>
        <w:t>万元，项目承担单位根据指标情况完成项目建设，项目验收(接收)合格后，履行合同义务，按照报销流程支付项目资金，确保项目资金使用到位，不存在超范围支出、挤占挪用等违规行为，完成了预期目标死因监测、肿瘤登记、慢性病及其危险因素监测及心血管高危人群早期筛查项目是根据上级部门相关文件要求开展，其项目资金的专项管理也是依据上级部门的相关文件批复进行的，项目资金有财政全额拨付，实行国库直接支付，专款专用。费用报销程序合规，严格管理资金支出。死因监测、肿瘤登记、慢性病及其危险因素监测及心血管高危人群早期筛查项目在2023年开展监测，主要是对项目投入人员、时间、试剂耗材较大，项目资金主要用于购买检测试剂、实验室耗材、仪器设备维修费、工作人员加班餐费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(三)总体绩效目标完成情况分析。</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年初设定目标：</w:t>
      </w:r>
      <w:r>
        <w:rPr>
          <w:rFonts w:hint="eastAsia" w:ascii="仿宋" w:hAnsi="仿宋" w:eastAsia="仿宋" w:cs="仿宋"/>
          <w:sz w:val="32"/>
          <w:szCs w:val="32"/>
        </w:rPr>
        <w:t>1、开展查漏补种，提高疫苗接种率，完成麻疹、风疹AFP病例监测任务，完成入托入学查验证工作。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2、慢性病综合防控工作，死因报告检测率大于6‰，肿瘤报告率大于4‰，慢性病监测人数达到720人。</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3、艾滋病随访检测率90%，配偶检测90%，流调质量100%，抗病毒治疗比例95%。</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开展</w:t>
      </w:r>
      <w:r>
        <w:rPr>
          <w:rFonts w:hint="eastAsia" w:ascii="仿宋" w:hAnsi="仿宋" w:eastAsia="仿宋" w:cs="仿宋"/>
          <w:sz w:val="32"/>
          <w:szCs w:val="32"/>
          <w:lang w:val="en-US" w:eastAsia="zh-CN"/>
        </w:rPr>
        <w:t>新冠本土变异监测、扩大新冠哨点监测、食品安全监测</w:t>
      </w:r>
      <w:r>
        <w:rPr>
          <w:rFonts w:hint="eastAsia" w:ascii="仿宋" w:hAnsi="仿宋" w:eastAsia="仿宋" w:cs="仿宋"/>
          <w:sz w:val="32"/>
          <w:szCs w:val="32"/>
        </w:rPr>
        <w:t>工作</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pacing w:val="1"/>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spacing w:val="1"/>
          <w:sz w:val="32"/>
          <w:szCs w:val="32"/>
          <w:lang w:val="en-US" w:eastAsia="zh-CN"/>
        </w:rPr>
        <w:t>加强本地区严重精神障碍患者的管理与救治，发现、筛查、评估、登记并纳入救治管理，防止精神障碍患者肇事肇祸发生，精神障碍患者发现率提升到5.2</w:t>
      </w:r>
      <w:r>
        <w:rPr>
          <w:rFonts w:hint="default" w:ascii="Arial" w:hAnsi="Arial" w:eastAsia="仿宋" w:cs="Arial"/>
          <w:spacing w:val="1"/>
          <w:sz w:val="32"/>
          <w:szCs w:val="32"/>
          <w:lang w:val="en-US" w:eastAsia="zh-CN"/>
        </w:rPr>
        <w:t>‰</w:t>
      </w:r>
      <w:r>
        <w:rPr>
          <w:rFonts w:hint="eastAsia" w:ascii="仿宋" w:hAnsi="仿宋" w:eastAsia="仿宋" w:cs="仿宋"/>
          <w:spacing w:val="1"/>
          <w:sz w:val="32"/>
          <w:szCs w:val="32"/>
          <w:lang w:val="en-US" w:eastAsia="zh-CN"/>
        </w:rPr>
        <w:t>以上</w:t>
      </w:r>
      <w:r>
        <w:rPr>
          <w:rFonts w:hint="eastAsia" w:ascii="仿宋" w:hAnsi="仿宋" w:eastAsia="仿宋" w:cs="仿宋"/>
          <w:spacing w:val="1"/>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巴彦淖尔市要完成3000例的城市癌症临床筛查任务，并完成国家分配的筛查随访任务与卫生经济学随访任务。巴彦淖尔市医院、北京中医医院内蒙古医院各完成1500例。临河区金川、北环、西环、先锋社区卫生服务中心，曙光乡、双河镇卫生院完成居民招募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7.巴彦淖尔嘉裕口腔门诊部要完成3000颗牙齿窝沟封闭任务。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全年实际完成情况</w:t>
      </w:r>
      <w:r>
        <w:rPr>
          <w:rFonts w:hint="eastAsia" w:ascii="仿宋" w:hAnsi="仿宋" w:eastAsia="仿宋" w:cs="仿宋"/>
          <w:sz w:val="32"/>
          <w:szCs w:val="32"/>
          <w:lang w:eastAsia="zh-CN"/>
        </w:rPr>
        <w:t>：</w:t>
      </w:r>
      <w:r>
        <w:rPr>
          <w:rFonts w:hint="eastAsia" w:ascii="仿宋" w:hAnsi="仿宋" w:eastAsia="仿宋" w:cs="仿宋"/>
          <w:sz w:val="32"/>
          <w:szCs w:val="32"/>
        </w:rPr>
        <w:t>1、全年完成预防接种门诊督导4次:规范做好疫苗储存和配送关工作，领取免疫规划疫苗160039剂次，配送非免疫规划疫苗129939剂次:采购非免疫规划疫苗106282剂次，配送非免疫规划疫苗105984剂次，保证接种门诊疫苗接种工作:以入托机构和小学为单位接种证查验率100%;常规疫苗接种率98.73%;完成疑似麻疹、风疹监测病例45例，AFP病例8例，流脑病例1例，AEF病例115例。按时限要求100%完成;完成502份新冠杭体监测:完成“4.25”全国预防接种日、7.28”世界肝炎日宣传活动;完成2次辖区预防接种人员培训;完成冷链设备维护、验证工作等。</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2、严格按照工作职责开展工作，死因报告检测率7.65‰，肿瘤报告率6.03‰，慢性病监测人数达到720人，心血管高危人群筛查100%。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rPr>
        <w:t>3、截止2023年12月31日，新报告HIV阳性病例21例。CD4随访检测239人，检测率91.86% (237/258)，对60名感染者的配偶进行了HIV检测，检测率95.24% (60/63)未检出阳性病例。对258名感染者和病人进行结核病筛查，检测率100%(258/258)，对246名感染者和病人进行抗病毒治疗，抗病毒治疗率95.35% (246/258),对符合病毒载量检测条件的210名病人进行了病毒载量检测，检测率95.02%(210/221),抗病毒治疗成功率93.33% (196/210)。</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pacing w:val="1"/>
          <w:sz w:val="30"/>
          <w:szCs w:val="30"/>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rPr>
        <w:t>开展</w:t>
      </w:r>
      <w:r>
        <w:rPr>
          <w:rFonts w:hint="eastAsia" w:ascii="仿宋" w:hAnsi="仿宋" w:eastAsia="仿宋" w:cs="仿宋"/>
          <w:sz w:val="32"/>
          <w:szCs w:val="32"/>
          <w:lang w:val="en-US" w:eastAsia="zh-CN"/>
        </w:rPr>
        <w:t>新冠本土变异监测</w:t>
      </w:r>
      <w:r>
        <w:rPr>
          <w:rFonts w:hint="eastAsia" w:ascii="仿宋" w:hAnsi="仿宋" w:eastAsia="仿宋" w:cs="仿宋"/>
          <w:sz w:val="32"/>
          <w:szCs w:val="32"/>
        </w:rPr>
        <w:t>，</w:t>
      </w:r>
      <w:r>
        <w:rPr>
          <w:rFonts w:hint="eastAsia" w:ascii="仿宋" w:hAnsi="仿宋" w:eastAsia="仿宋" w:cs="仿宋"/>
          <w:spacing w:val="1"/>
          <w:sz w:val="30"/>
          <w:szCs w:val="30"/>
        </w:rPr>
        <w:t>通过对具有代表性的新冠病毒感染者样本进行病毒基因组测序和序列对比分析，动态监测我市本土流行的新冠病毒株组成和分布，及时发现新变异株，评估变异株的传播力、致病力和免疫逃逸能力等生物学特性变化和风险。实验室共</w:t>
      </w:r>
      <w:r>
        <w:rPr>
          <w:rFonts w:hint="eastAsia" w:ascii="仿宋" w:hAnsi="仿宋" w:eastAsia="仿宋" w:cs="仿宋"/>
          <w:spacing w:val="1"/>
          <w:sz w:val="30"/>
          <w:szCs w:val="30"/>
          <w:lang w:val="en-US" w:eastAsia="zh-CN"/>
        </w:rPr>
        <w:t>送往市疾控中心82例</w:t>
      </w:r>
      <w:r>
        <w:rPr>
          <w:rFonts w:hint="eastAsia" w:ascii="仿宋" w:hAnsi="仿宋" w:eastAsia="仿宋" w:cs="仿宋"/>
          <w:spacing w:val="1"/>
          <w:sz w:val="30"/>
          <w:szCs w:val="30"/>
        </w:rPr>
        <w:t>新冠病毒</w:t>
      </w:r>
      <w:r>
        <w:rPr>
          <w:rFonts w:hint="eastAsia" w:ascii="仿宋" w:hAnsi="仿宋" w:eastAsia="仿宋" w:cs="仿宋"/>
          <w:spacing w:val="1"/>
          <w:sz w:val="30"/>
          <w:szCs w:val="30"/>
          <w:lang w:val="en-US" w:eastAsia="zh-CN"/>
        </w:rPr>
        <w:t>进行</w:t>
      </w:r>
      <w:r>
        <w:rPr>
          <w:rFonts w:hint="eastAsia" w:ascii="仿宋" w:hAnsi="仿宋" w:eastAsia="仿宋" w:cs="仿宋"/>
          <w:spacing w:val="1"/>
          <w:sz w:val="30"/>
          <w:szCs w:val="30"/>
        </w:rPr>
        <w:t>基因序列</w:t>
      </w:r>
      <w:r>
        <w:rPr>
          <w:rFonts w:hint="eastAsia" w:ascii="仿宋" w:hAnsi="仿宋" w:eastAsia="仿宋" w:cs="仿宋"/>
          <w:spacing w:val="1"/>
          <w:sz w:val="30"/>
          <w:szCs w:val="30"/>
          <w:lang w:val="en-US" w:eastAsia="zh-CN"/>
        </w:rPr>
        <w:t>检测</w:t>
      </w:r>
      <w:r>
        <w:rPr>
          <w:rFonts w:hint="eastAsia" w:ascii="仿宋" w:hAnsi="仿宋" w:eastAsia="仿宋" w:cs="仿宋"/>
          <w:spacing w:val="1"/>
          <w:sz w:val="30"/>
          <w:szCs w:val="30"/>
        </w:rPr>
        <w:t>，工作整体进展顺利。为监测我市本土新冠病毒组成、分布、及时发现新变异株提供有力技术支撑</w:t>
      </w:r>
      <w:r>
        <w:rPr>
          <w:rFonts w:hint="eastAsia" w:ascii="仿宋" w:hAnsi="仿宋" w:eastAsia="仿宋" w:cs="仿宋"/>
          <w:spacing w:val="1"/>
          <w:sz w:val="30"/>
          <w:szCs w:val="30"/>
          <w:lang w:eastAsia="zh-CN"/>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5、开展扩大新冠哨点监测</w:t>
      </w:r>
      <w:r>
        <w:rPr>
          <w:rFonts w:hint="eastAsia" w:ascii="仿宋" w:hAnsi="仿宋" w:eastAsia="仿宋" w:cs="仿宋"/>
          <w:sz w:val="32"/>
          <w:szCs w:val="32"/>
        </w:rPr>
        <w:t>工作，</w:t>
      </w:r>
      <w:r>
        <w:rPr>
          <w:rFonts w:hint="eastAsia" w:ascii="仿宋" w:hAnsi="仿宋" w:eastAsia="仿宋" w:cs="仿宋"/>
          <w:sz w:val="32"/>
          <w:szCs w:val="32"/>
          <w:lang w:val="en-US" w:eastAsia="zh-CN"/>
        </w:rPr>
        <w:t>本年度共完成新冠核酸检测6813例，实时动态监测新冠病毒在本市流行的动态，具有潜在生物学特性改变的新变异株，包括临床表现、传播力、致病力等。为疫苗研制、诊断试剂评价（包括核酸和抗原等）提供科学依据。</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6、食品安全监测，本年度共上报食源性疾病174例，在完成上级主管部门下达的食品安全风险监测任务基础上，收集食品安全风险监测数据，了解食品中主要污染物及有害因素的水平和趋势，确定危险因素的分布和可能来源，掌握主要食源性疾病的发病及流行趋势，为开展食品安全风险评估和标准制定、修订及跟踪评价等提供科学依据。发现食品安全风险和食源性疾病爆发隐患，以利于及时采取相应的风险管控和监管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7、</w:t>
      </w:r>
      <w:r>
        <w:rPr>
          <w:rFonts w:hint="eastAsia" w:ascii="仿宋" w:hAnsi="仿宋" w:eastAsia="仿宋" w:cs="仿宋"/>
          <w:spacing w:val="1"/>
          <w:sz w:val="32"/>
          <w:szCs w:val="32"/>
          <w:lang w:val="en-US" w:eastAsia="zh-CN"/>
        </w:rPr>
        <w:t>2023全年，新发现并规范管理120人，临河区在册管理患者为3062人，发现率达5.22</w:t>
      </w:r>
      <w:r>
        <w:rPr>
          <w:rFonts w:hint="default" w:ascii="Arial" w:hAnsi="Arial" w:eastAsia="仿宋" w:cs="Arial"/>
          <w:spacing w:val="1"/>
          <w:sz w:val="32"/>
          <w:szCs w:val="32"/>
          <w:lang w:val="en-US" w:eastAsia="zh-CN"/>
        </w:rPr>
        <w:t>‰</w:t>
      </w:r>
      <w:r>
        <w:rPr>
          <w:rFonts w:hint="eastAsia" w:ascii="Arial" w:hAnsi="Arial" w:eastAsia="仿宋" w:cs="Arial"/>
          <w:spacing w:val="1"/>
          <w:sz w:val="32"/>
          <w:szCs w:val="32"/>
          <w:lang w:val="en-US" w:eastAsia="zh-CN"/>
        </w:rPr>
        <w:t>，其他规范管理率全部达到95%以上，全部超过自治区要求的最低值。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8、按要求完成了3000例的城市癌症临床筛查任务。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9、对适龄适宜儿童窝沟封闭率达到90%以上。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w:t>
      </w:r>
      <w:r>
        <w:rPr>
          <w:rFonts w:hint="eastAsia" w:ascii="仿宋" w:hAnsi="仿宋" w:eastAsia="仿宋" w:cs="仿宋"/>
          <w:sz w:val="32"/>
          <w:szCs w:val="32"/>
        </w:rPr>
        <w:t>绩效指标完成情况分析。</w:t>
      </w:r>
    </w:p>
    <w:p>
      <w:pPr>
        <w:keepNext w:val="0"/>
        <w:keepLines w:val="0"/>
        <w:pageBreakBefore w:val="0"/>
        <w:numPr>
          <w:ilvl w:val="0"/>
          <w:numId w:val="1"/>
        </w:numPr>
        <w:kinsoku/>
        <w:wordWrap/>
        <w:overflowPunct/>
        <w:topLinePunct w:val="0"/>
        <w:autoSpaceDE/>
        <w:autoSpaceDN/>
        <w:bidi w:val="0"/>
        <w:adjustRightInd/>
        <w:snapToGrid/>
        <w:spacing w:line="560" w:lineRule="exact"/>
        <w:ind w:left="630" w:leftChars="0" w:firstLine="0" w:firstLineChars="0"/>
        <w:textAlignment w:val="auto"/>
        <w:outlineLvl w:val="9"/>
        <w:rPr>
          <w:rFonts w:hint="eastAsia" w:ascii="仿宋" w:hAnsi="仿宋" w:eastAsia="仿宋" w:cs="仿宋"/>
          <w:sz w:val="32"/>
          <w:szCs w:val="32"/>
        </w:rPr>
      </w:pPr>
      <w:r>
        <w:rPr>
          <w:rFonts w:hint="eastAsia" w:ascii="仿宋" w:hAnsi="仿宋" w:eastAsia="仿宋" w:cs="仿宋"/>
          <w:sz w:val="32"/>
          <w:szCs w:val="32"/>
        </w:rPr>
        <w:t>数量指标</w:t>
      </w:r>
    </w:p>
    <w:p>
      <w:pPr>
        <w:keepNext w:val="0"/>
        <w:keepLines w:val="0"/>
        <w:pageBreakBefore w:val="0"/>
        <w:numPr>
          <w:ilvl w:val="0"/>
          <w:numId w:val="2"/>
        </w:numPr>
        <w:kinsoku/>
        <w:wordWrap/>
        <w:overflowPunct/>
        <w:topLinePunct w:val="0"/>
        <w:autoSpaceDE/>
        <w:autoSpaceDN/>
        <w:bidi w:val="0"/>
        <w:adjustRightInd/>
        <w:snapToGrid/>
        <w:spacing w:line="560" w:lineRule="exact"/>
        <w:ind w:left="630" w:leftChars="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死因报告死亡率</w:t>
      </w:r>
      <w:r>
        <w:rPr>
          <w:rFonts w:hint="eastAsia" w:ascii="仿宋" w:hAnsi="仿宋" w:eastAsia="仿宋" w:cs="仿宋"/>
          <w:sz w:val="32"/>
          <w:szCs w:val="32"/>
          <w:lang w:val="en-US" w:eastAsia="zh-CN"/>
        </w:rPr>
        <w:t>目标值为6‰，全年完成值为6‰。</w:t>
      </w:r>
    </w:p>
    <w:p>
      <w:pPr>
        <w:keepNext w:val="0"/>
        <w:keepLines w:val="0"/>
        <w:pageBreakBefore w:val="0"/>
        <w:numPr>
          <w:ilvl w:val="0"/>
          <w:numId w:val="2"/>
        </w:numPr>
        <w:kinsoku/>
        <w:wordWrap/>
        <w:overflowPunct/>
        <w:topLinePunct w:val="0"/>
        <w:autoSpaceDE/>
        <w:autoSpaceDN/>
        <w:bidi w:val="0"/>
        <w:adjustRightInd/>
        <w:snapToGrid/>
        <w:spacing w:line="560" w:lineRule="exact"/>
        <w:ind w:left="630" w:leftChars="0" w:firstLine="0" w:firstLineChars="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rPr>
        <w:t>肿瘤报告率</w:t>
      </w:r>
      <w:r>
        <w:rPr>
          <w:rFonts w:hint="eastAsia" w:ascii="仿宋" w:hAnsi="仿宋" w:eastAsia="仿宋" w:cs="仿宋"/>
          <w:sz w:val="32"/>
          <w:szCs w:val="32"/>
          <w:lang w:val="en-US" w:eastAsia="zh-CN"/>
        </w:rPr>
        <w:t xml:space="preserve">目标值为4‰，全年完成值为4‰。       </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慢性病及危险因素监测人数</w:t>
      </w:r>
      <w:r>
        <w:rPr>
          <w:rFonts w:hint="eastAsia" w:ascii="仿宋" w:hAnsi="仿宋" w:eastAsia="仿宋" w:cs="仿宋"/>
          <w:sz w:val="32"/>
          <w:szCs w:val="32"/>
          <w:lang w:val="en-US" w:eastAsia="zh-CN"/>
        </w:rPr>
        <w:t>目标值为</w:t>
      </w:r>
      <w:r>
        <w:rPr>
          <w:rFonts w:hint="eastAsia" w:ascii="仿宋" w:hAnsi="仿宋" w:eastAsia="仿宋" w:cs="仿宋"/>
          <w:sz w:val="32"/>
          <w:szCs w:val="32"/>
        </w:rPr>
        <w:t>720人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全年完成值为720人。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eastAsia" w:ascii="仿宋" w:hAnsi="仿宋" w:eastAsia="仿宋" w:cs="仿宋"/>
          <w:sz w:val="32"/>
          <w:szCs w:val="32"/>
        </w:rPr>
        <w:t>艾滋病随访检测率</w:t>
      </w:r>
      <w:r>
        <w:rPr>
          <w:rFonts w:hint="eastAsia" w:ascii="仿宋" w:hAnsi="仿宋" w:eastAsia="仿宋" w:cs="仿宋"/>
          <w:sz w:val="32"/>
          <w:szCs w:val="32"/>
          <w:lang w:val="en-US" w:eastAsia="zh-CN"/>
        </w:rPr>
        <w:t>目标值为237人，全年完成值为237人。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lang w:eastAsia="zh-CN"/>
        </w:rPr>
        <w:t>）</w:t>
      </w:r>
      <w:r>
        <w:rPr>
          <w:rFonts w:hint="eastAsia" w:ascii="仿宋" w:hAnsi="仿宋" w:eastAsia="仿宋" w:cs="仿宋"/>
          <w:sz w:val="32"/>
          <w:szCs w:val="32"/>
        </w:rPr>
        <w:t>艾滋病监管场所筛查</w:t>
      </w:r>
      <w:r>
        <w:rPr>
          <w:rFonts w:hint="eastAsia" w:ascii="仿宋" w:hAnsi="仿宋" w:eastAsia="仿宋" w:cs="仿宋"/>
          <w:sz w:val="32"/>
          <w:szCs w:val="32"/>
          <w:lang w:val="en-US" w:eastAsia="zh-CN"/>
        </w:rPr>
        <w:t>目标值为630人，全年完成值为630人。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6</w:t>
      </w:r>
      <w:r>
        <w:rPr>
          <w:rFonts w:hint="eastAsia" w:ascii="仿宋" w:hAnsi="仿宋" w:eastAsia="仿宋" w:cs="仿宋"/>
          <w:sz w:val="32"/>
          <w:szCs w:val="32"/>
          <w:lang w:eastAsia="zh-CN"/>
        </w:rPr>
        <w:t>））</w:t>
      </w:r>
      <w:r>
        <w:rPr>
          <w:rFonts w:hint="eastAsia" w:ascii="仿宋" w:hAnsi="仿宋" w:eastAsia="仿宋" w:cs="仿宋"/>
          <w:sz w:val="32"/>
          <w:szCs w:val="32"/>
        </w:rPr>
        <w:t>麻疹、风疹监测</w:t>
      </w:r>
      <w:r>
        <w:rPr>
          <w:rFonts w:hint="eastAsia" w:ascii="仿宋" w:hAnsi="仿宋" w:eastAsia="仿宋" w:cs="仿宋"/>
          <w:sz w:val="32"/>
          <w:szCs w:val="32"/>
          <w:lang w:val="en-US" w:eastAsia="zh-CN"/>
        </w:rPr>
        <w:t>目标值为42例，全年完成值为42例。</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7</w:t>
      </w:r>
      <w:r>
        <w:rPr>
          <w:rFonts w:hint="eastAsia" w:ascii="仿宋" w:hAnsi="仿宋" w:eastAsia="仿宋" w:cs="仿宋"/>
          <w:sz w:val="32"/>
          <w:szCs w:val="32"/>
          <w:lang w:eastAsia="zh-CN"/>
        </w:rPr>
        <w:t>）</w:t>
      </w:r>
      <w:r>
        <w:rPr>
          <w:rFonts w:hint="eastAsia" w:ascii="仿宋" w:hAnsi="仿宋" w:eastAsia="仿宋" w:cs="仿宋"/>
          <w:sz w:val="32"/>
          <w:szCs w:val="32"/>
        </w:rPr>
        <w:t>学生常见病和健康影响因素监测学生人数</w:t>
      </w:r>
      <w:r>
        <w:rPr>
          <w:rFonts w:hint="eastAsia" w:ascii="仿宋" w:hAnsi="仿宋" w:eastAsia="仿宋" w:cs="仿宋"/>
          <w:sz w:val="32"/>
          <w:szCs w:val="32"/>
          <w:lang w:val="en-US" w:eastAsia="zh-CN"/>
        </w:rPr>
        <w:t>目标值为2700人，全年完成值为2872人。</w:t>
      </w:r>
    </w:p>
    <w:p>
      <w:pPr>
        <w:keepNext w:val="0"/>
        <w:keepLines w:val="0"/>
        <w:pageBreakBefore w:val="0"/>
        <w:kinsoku/>
        <w:wordWrap/>
        <w:overflowPunct/>
        <w:topLinePunct w:val="0"/>
        <w:autoSpaceDE/>
        <w:autoSpaceDN/>
        <w:bidi w:val="0"/>
        <w:adjustRightInd/>
        <w:snapToGrid/>
        <w:spacing w:line="560" w:lineRule="exact"/>
        <w:ind w:firstLine="420" w:firstLineChars="200"/>
        <w:textAlignment w:val="auto"/>
        <w:outlineLvl w:val="9"/>
        <w:rPr>
          <w:rFonts w:hint="eastAsia" w:ascii="仿宋" w:hAnsi="仿宋" w:eastAsia="仿宋" w:cs="仿宋"/>
          <w:sz w:val="32"/>
          <w:szCs w:val="32"/>
        </w:rPr>
      </w:pPr>
      <w:r>
        <w:rPr>
          <w:rFonts w:hint="eastAsia"/>
          <w:lang w:val="en-US" w:eastAsia="zh-CN"/>
        </w:rPr>
        <w:t xml:space="preserve">  </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8</w:t>
      </w:r>
      <w:r>
        <w:rPr>
          <w:rFonts w:hint="eastAsia" w:ascii="仿宋" w:hAnsi="仿宋" w:eastAsia="仿宋" w:cs="仿宋"/>
          <w:sz w:val="32"/>
          <w:szCs w:val="32"/>
        </w:rPr>
        <w:t>)贫困患者门诊服药治疗补助，目标值</w:t>
      </w:r>
      <w:r>
        <w:rPr>
          <w:rFonts w:hint="eastAsia" w:ascii="仿宋" w:hAnsi="仿宋" w:eastAsia="仿宋" w:cs="仿宋"/>
          <w:sz w:val="32"/>
          <w:szCs w:val="32"/>
          <w:lang w:val="en-US" w:eastAsia="zh-CN"/>
        </w:rPr>
        <w:t>大于等于22人</w:t>
      </w:r>
      <w:r>
        <w:rPr>
          <w:rFonts w:hint="eastAsia" w:ascii="仿宋" w:hAnsi="仿宋" w:eastAsia="仿宋" w:cs="仿宋"/>
          <w:sz w:val="32"/>
          <w:szCs w:val="32"/>
        </w:rPr>
        <w:t>份，</w:t>
      </w:r>
      <w:r>
        <w:rPr>
          <w:rFonts w:hint="eastAsia" w:ascii="仿宋" w:hAnsi="仿宋" w:eastAsia="仿宋" w:cs="仿宋"/>
          <w:sz w:val="32"/>
          <w:szCs w:val="32"/>
          <w:lang w:val="en-US" w:eastAsia="zh-CN"/>
        </w:rPr>
        <w:t>实际</w:t>
      </w:r>
      <w:r>
        <w:rPr>
          <w:rFonts w:hint="eastAsia" w:ascii="仿宋" w:hAnsi="仿宋" w:eastAsia="仿宋" w:cs="仿宋"/>
          <w:sz w:val="32"/>
          <w:szCs w:val="32"/>
        </w:rPr>
        <w:t>完成13</w:t>
      </w:r>
      <w:r>
        <w:rPr>
          <w:rFonts w:hint="eastAsia" w:ascii="仿宋" w:hAnsi="仿宋" w:eastAsia="仿宋" w:cs="仿宋"/>
          <w:sz w:val="32"/>
          <w:szCs w:val="32"/>
          <w:lang w:val="en-US" w:eastAsia="zh-CN"/>
        </w:rPr>
        <w:t>4</w:t>
      </w:r>
      <w:r>
        <w:rPr>
          <w:rFonts w:hint="eastAsia" w:ascii="仿宋" w:hAnsi="仿宋" w:eastAsia="仿宋" w:cs="仿宋"/>
          <w:sz w:val="32"/>
          <w:szCs w:val="32"/>
        </w:rPr>
        <w:t>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9</w:t>
      </w:r>
      <w:r>
        <w:rPr>
          <w:rFonts w:hint="eastAsia" w:ascii="仿宋" w:hAnsi="仿宋" w:eastAsia="仿宋" w:cs="仿宋"/>
          <w:sz w:val="32"/>
          <w:szCs w:val="32"/>
        </w:rPr>
        <w:t>)病人家属护理教育，目标值</w:t>
      </w:r>
      <w:r>
        <w:rPr>
          <w:rFonts w:hint="eastAsia" w:ascii="仿宋" w:hAnsi="仿宋" w:eastAsia="仿宋" w:cs="仿宋"/>
          <w:sz w:val="32"/>
          <w:szCs w:val="32"/>
          <w:lang w:val="en-US" w:eastAsia="zh-CN"/>
        </w:rPr>
        <w:t>大于等于452人次</w:t>
      </w:r>
      <w:r>
        <w:rPr>
          <w:rFonts w:hint="eastAsia" w:ascii="仿宋" w:hAnsi="仿宋" w:eastAsia="仿宋" w:cs="仿宋"/>
          <w:sz w:val="32"/>
          <w:szCs w:val="32"/>
        </w:rPr>
        <w:t>，</w:t>
      </w:r>
      <w:r>
        <w:rPr>
          <w:rFonts w:hint="eastAsia" w:ascii="仿宋" w:hAnsi="仿宋" w:eastAsia="仿宋" w:cs="仿宋"/>
          <w:sz w:val="32"/>
          <w:szCs w:val="32"/>
          <w:lang w:val="en-US" w:eastAsia="zh-CN"/>
        </w:rPr>
        <w:t>实际</w:t>
      </w:r>
      <w:r>
        <w:rPr>
          <w:rFonts w:hint="eastAsia" w:ascii="仿宋" w:hAnsi="仿宋" w:eastAsia="仿宋" w:cs="仿宋"/>
          <w:sz w:val="32"/>
          <w:szCs w:val="32"/>
        </w:rPr>
        <w:t>完成</w:t>
      </w:r>
      <w:r>
        <w:rPr>
          <w:rFonts w:hint="eastAsia" w:ascii="仿宋" w:hAnsi="仿宋" w:eastAsia="仿宋" w:cs="仿宋"/>
          <w:sz w:val="32"/>
          <w:szCs w:val="32"/>
          <w:lang w:val="en-US" w:eastAsia="zh-CN"/>
        </w:rPr>
        <w:t>2982人次</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10）项目质控，目标值大于等于250份，实际完成2982份。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（11）常见精神障碍防治和儿童青少年心理健康促进（临河区居民健康素养基线水平调查工作），目标值大于等于3250人，实际完成6720人。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04" w:firstLineChars="200"/>
        <w:textAlignment w:val="auto"/>
        <w:outlineLvl w:val="9"/>
        <w:rPr>
          <w:rFonts w:hint="eastAsia"/>
          <w:lang w:val="en-US" w:eastAsia="zh-CN"/>
        </w:rPr>
      </w:pPr>
      <w:r>
        <w:rPr>
          <w:rFonts w:hint="eastAsia" w:ascii="仿宋" w:hAnsi="仿宋" w:eastAsia="仿宋" w:cs="仿宋"/>
          <w:spacing w:val="1"/>
          <w:sz w:val="30"/>
          <w:szCs w:val="30"/>
          <w:lang w:val="en-US" w:eastAsia="zh-CN"/>
        </w:rPr>
        <w:t>（12）完成82例</w:t>
      </w:r>
      <w:r>
        <w:rPr>
          <w:rFonts w:hint="eastAsia" w:ascii="仿宋" w:hAnsi="仿宋" w:eastAsia="仿宋" w:cs="仿宋"/>
          <w:spacing w:val="1"/>
          <w:sz w:val="30"/>
          <w:szCs w:val="30"/>
        </w:rPr>
        <w:t>新冠病毒基因序列</w:t>
      </w:r>
      <w:r>
        <w:rPr>
          <w:rFonts w:hint="eastAsia" w:ascii="仿宋" w:hAnsi="仿宋" w:eastAsia="仿宋" w:cs="仿宋"/>
          <w:spacing w:val="1"/>
          <w:sz w:val="30"/>
          <w:szCs w:val="30"/>
          <w:lang w:val="en-US" w:eastAsia="zh-CN"/>
        </w:rPr>
        <w:t>检测、</w:t>
      </w:r>
      <w:r>
        <w:rPr>
          <w:rFonts w:hint="eastAsia" w:ascii="仿宋" w:hAnsi="仿宋" w:eastAsia="仿宋" w:cs="仿宋"/>
          <w:sz w:val="32"/>
          <w:szCs w:val="32"/>
          <w:lang w:val="en-US" w:eastAsia="zh-CN"/>
        </w:rPr>
        <w:t>新冠核酸检测6813例、食源性疾病174例。</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04" w:firstLineChars="200"/>
        <w:textAlignment w:val="auto"/>
        <w:outlineLvl w:val="9"/>
        <w:rPr>
          <w:rFonts w:hint="default"/>
          <w:lang w:val="en-US" w:eastAsia="zh-CN"/>
        </w:rPr>
      </w:pPr>
      <w:r>
        <w:rPr>
          <w:rFonts w:hint="eastAsia" w:ascii="仿宋" w:hAnsi="仿宋" w:eastAsia="仿宋" w:cs="仿宋"/>
          <w:spacing w:val="1"/>
          <w:sz w:val="30"/>
          <w:szCs w:val="30"/>
          <w:lang w:val="en-US" w:eastAsia="zh-CN"/>
        </w:rPr>
        <w:t>（13）完成城市癌症筛查任务数3000例。</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04" w:firstLineChars="200"/>
        <w:textAlignment w:val="auto"/>
        <w:outlineLvl w:val="9"/>
        <w:rPr>
          <w:rFonts w:hint="eastAsia"/>
          <w:lang w:val="en-US" w:eastAsia="zh-CN"/>
        </w:rPr>
      </w:pPr>
      <w:r>
        <w:rPr>
          <w:rFonts w:hint="eastAsia" w:ascii="仿宋" w:hAnsi="仿宋" w:eastAsia="仿宋" w:cs="仿宋"/>
          <w:spacing w:val="1"/>
          <w:sz w:val="30"/>
          <w:szCs w:val="30"/>
          <w:lang w:val="en-US" w:eastAsia="zh-CN"/>
        </w:rPr>
        <w:t>（14）完成</w:t>
      </w:r>
      <w:r>
        <w:rPr>
          <w:rFonts w:hint="eastAsia" w:ascii="仿宋" w:hAnsi="仿宋" w:eastAsia="仿宋" w:cs="仿宋"/>
          <w:sz w:val="32"/>
          <w:szCs w:val="32"/>
          <w:lang w:val="en-US" w:eastAsia="zh-CN"/>
        </w:rPr>
        <w:t>4000颗牙齿窝沟封闭和2000人局部用氟任务。</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420" w:firstLineChars="200"/>
        <w:textAlignment w:val="auto"/>
        <w:outlineLvl w:val="9"/>
        <w:rPr>
          <w:rFonts w:hint="eastAsia" w:ascii="仿宋" w:hAnsi="仿宋" w:eastAsia="仿宋" w:cs="仿宋"/>
          <w:sz w:val="32"/>
          <w:szCs w:val="32"/>
          <w:lang w:val="en-US" w:eastAsia="zh-CN"/>
        </w:rPr>
      </w:pPr>
      <w:r>
        <w:rPr>
          <w:rFonts w:hint="eastAsia"/>
          <w:lang w:val="en-US" w:eastAsia="zh-CN"/>
        </w:rPr>
        <w:t xml:space="preserve"> </w:t>
      </w:r>
      <w:r>
        <w:rPr>
          <w:rFonts w:hint="eastAsia" w:ascii="仿宋" w:hAnsi="仿宋" w:eastAsia="仿宋" w:cs="仿宋"/>
          <w:sz w:val="32"/>
          <w:szCs w:val="32"/>
          <w:lang w:val="en-US" w:eastAsia="zh-CN"/>
        </w:rPr>
        <w:t>2.质量指标</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w:t>
      </w:r>
      <w:r>
        <w:rPr>
          <w:rFonts w:hint="eastAsia" w:ascii="仿宋" w:hAnsi="仿宋" w:eastAsia="仿宋" w:cs="仿宋"/>
          <w:sz w:val="32"/>
          <w:szCs w:val="32"/>
        </w:rPr>
        <w:t>多死因链填写完整率</w:t>
      </w:r>
      <w:r>
        <w:rPr>
          <w:rFonts w:hint="eastAsia" w:ascii="仿宋" w:hAnsi="仿宋" w:eastAsia="仿宋" w:cs="仿宋"/>
          <w:sz w:val="32"/>
          <w:szCs w:val="32"/>
          <w:lang w:val="en-US" w:eastAsia="zh-CN"/>
        </w:rPr>
        <w:t>目标值为60%，全年完成值为75.71%。</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w:t>
      </w:r>
      <w:r>
        <w:rPr>
          <w:rFonts w:hint="default" w:ascii="仿宋" w:hAnsi="仿宋" w:eastAsia="仿宋" w:cs="仿宋"/>
          <w:sz w:val="32"/>
          <w:szCs w:val="32"/>
          <w:lang w:val="en-US" w:eastAsia="zh-CN"/>
        </w:rPr>
        <w:t>肿瘤发病率</w:t>
      </w:r>
      <w:r>
        <w:rPr>
          <w:rFonts w:hint="eastAsia" w:ascii="仿宋" w:hAnsi="仿宋" w:eastAsia="仿宋" w:cs="仿宋"/>
          <w:sz w:val="32"/>
          <w:szCs w:val="32"/>
          <w:lang w:val="en-US" w:eastAsia="zh-CN"/>
        </w:rPr>
        <w:t>目标值为2%，全年完成值为2.37%。</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default" w:ascii="仿宋" w:hAnsi="仿宋" w:eastAsia="仿宋" w:cs="仿宋"/>
          <w:sz w:val="32"/>
          <w:szCs w:val="32"/>
          <w:lang w:val="en-US" w:eastAsia="zh-CN"/>
        </w:rPr>
        <w:t>慢性病及危险因素指控合格率</w:t>
      </w:r>
      <w:r>
        <w:rPr>
          <w:rFonts w:hint="eastAsia" w:ascii="仿宋" w:hAnsi="仿宋" w:eastAsia="仿宋" w:cs="仿宋"/>
          <w:sz w:val="32"/>
          <w:szCs w:val="32"/>
          <w:lang w:val="en-US" w:eastAsia="zh-CN"/>
        </w:rPr>
        <w:t>目标值为100%，全年完成值为100%。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w:t>
      </w:r>
      <w:r>
        <w:rPr>
          <w:rFonts w:hint="default" w:ascii="仿宋" w:hAnsi="仿宋" w:eastAsia="仿宋" w:cs="仿宋"/>
          <w:sz w:val="32"/>
          <w:szCs w:val="32"/>
          <w:lang w:val="en-US" w:eastAsia="zh-CN"/>
        </w:rPr>
        <w:t>艾滋病监测管理筛查及时率</w:t>
      </w:r>
      <w:r>
        <w:rPr>
          <w:rFonts w:hint="eastAsia" w:ascii="仿宋" w:hAnsi="仿宋" w:eastAsia="仿宋" w:cs="仿宋"/>
          <w:sz w:val="32"/>
          <w:szCs w:val="32"/>
          <w:lang w:val="en-US" w:eastAsia="zh-CN"/>
        </w:rPr>
        <w:t>目标值为100%，全年完成值为100%。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3.时效指标</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死亡报告及时率</w:t>
      </w:r>
      <w:r>
        <w:rPr>
          <w:rFonts w:hint="eastAsia" w:ascii="仿宋" w:hAnsi="仿宋" w:eastAsia="仿宋" w:cs="仿宋"/>
          <w:sz w:val="32"/>
          <w:szCs w:val="32"/>
          <w:lang w:val="en-US" w:eastAsia="zh-CN"/>
        </w:rPr>
        <w:t>目标值为100%，全年完成值为100%。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(2)肿瘤发病率</w:t>
      </w:r>
      <w:r>
        <w:rPr>
          <w:rFonts w:hint="default" w:ascii="仿宋" w:hAnsi="仿宋" w:eastAsia="仿宋" w:cs="仿宋"/>
          <w:sz w:val="32"/>
          <w:szCs w:val="32"/>
          <w:lang w:val="en-US" w:eastAsia="zh-CN"/>
        </w:rPr>
        <w:t>率</w:t>
      </w:r>
      <w:r>
        <w:rPr>
          <w:rFonts w:hint="eastAsia" w:ascii="仿宋" w:hAnsi="仿宋" w:eastAsia="仿宋" w:cs="仿宋"/>
          <w:sz w:val="32"/>
          <w:szCs w:val="32"/>
          <w:lang w:val="en-US" w:eastAsia="zh-CN"/>
        </w:rPr>
        <w:t>目标值为2%，全年完成值为2.37%。</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(3)慢性病及危险因素监测完成时间目标值为100%，全年完成值为100%。</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4.成本指标</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（1）死因监测项目经费劳务费目标值9万元，全年完成值1.9万元。</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（2）肿瘤报告项目经费劳务费目标值4.5万元，全年完成值1.7万元。</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心血管高危人群早期筛查项目劳务费、专用材料</w:t>
      </w:r>
      <w:r>
        <w:rPr>
          <w:rFonts w:hint="eastAsia" w:ascii="仿宋" w:hAnsi="仿宋" w:eastAsia="仿宋" w:cs="仿宋"/>
          <w:sz w:val="32"/>
          <w:szCs w:val="32"/>
          <w:lang w:val="en-US" w:eastAsia="zh-CN"/>
        </w:rPr>
        <w:t>目标值60.7万元，全年完成值25万元。</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3" w:firstLineChars="200"/>
        <w:textAlignment w:val="auto"/>
        <w:outlineLvl w:val="9"/>
        <w:rPr>
          <w:rFonts w:hint="eastAsia" w:ascii="仿宋" w:hAnsi="仿宋" w:eastAsia="仿宋" w:cs="仿宋"/>
          <w:b/>
          <w:bCs/>
          <w:sz w:val="32"/>
          <w:szCs w:val="32"/>
        </w:rPr>
      </w:pPr>
      <w:r>
        <w:rPr>
          <w:rFonts w:hint="eastAsia" w:ascii="仿宋" w:hAnsi="仿宋" w:eastAsia="仿宋" w:cs="仿宋"/>
          <w:b/>
          <w:bCs/>
          <w:sz w:val="32"/>
          <w:szCs w:val="32"/>
        </w:rPr>
        <w:t>三、偏离绩效目标的原因和下一步改进措施</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项目立项、实施存在问题，部分死亡人员未做到死亡15日内的及时上报。</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要加强对死亡网报人员的督促上报工作，同时加强死亡人员的信息收集，争取收集多方数据。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30466"/>
    <w:multiLevelType w:val="singleLevel"/>
    <w:tmpl w:val="12430466"/>
    <w:lvl w:ilvl="0" w:tentative="0">
      <w:start w:val="1"/>
      <w:numFmt w:val="decimal"/>
      <w:suff w:val="nothing"/>
      <w:lvlText w:val="%1、"/>
      <w:lvlJc w:val="left"/>
      <w:pPr>
        <w:ind w:left="630" w:firstLine="0"/>
      </w:pPr>
    </w:lvl>
  </w:abstractNum>
  <w:abstractNum w:abstractNumId="1">
    <w:nsid w:val="7D11EFB4"/>
    <w:multiLevelType w:val="singleLevel"/>
    <w:tmpl w:val="7D11EFB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A577B0"/>
    <w:rsid w:val="22A577B0"/>
    <w:rsid w:val="4D221AA6"/>
    <w:rsid w:val="51E16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2024-06-03T09:34:00Z</dcterms:created>
  <dc:creator>Administrator</dc:creator>
  <cp:lastModifiedBy>Administrator</cp:lastModifiedBy>
  <dcterms:modified xsi:type="dcterms:W3CDTF">2024-06-03T09:47:57Z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