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2023年城镇保障性安居工程</w:t>
      </w:r>
      <w:r>
        <w:rPr>
          <w:rFonts w:hint="eastAsia" w:ascii="方正小标宋简体" w:hAnsi="方正小标宋简体" w:eastAsia="方正小标宋简体" w:cs="方正小标宋简体"/>
          <w:sz w:val="44"/>
          <w:szCs w:val="44"/>
          <w:lang w:eastAsia="zh-CN"/>
        </w:rPr>
        <w:t>（棚户区改造）</w:t>
      </w:r>
      <w:r>
        <w:rPr>
          <w:rFonts w:hint="eastAsia" w:ascii="方正小标宋简体" w:hAnsi="方正小标宋简体" w:eastAsia="方正小标宋简体" w:cs="方正小标宋简体"/>
          <w:sz w:val="44"/>
          <w:szCs w:val="44"/>
        </w:rPr>
        <w:t>项目转移支付2023年度绩效自评报告</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方正小标宋简体" w:hAnsi="方正小标宋简体" w:eastAsia="方正小标宋简体" w:cs="方正小标宋简体"/>
          <w:sz w:val="44"/>
          <w:szCs w:val="44"/>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内蒙古自治区《关于全面实施预算绩效管理的实施意见》（内财监〔2019〕1343号）精神，完善项目预算管理，强化预算支出责任，提高财政资金使用效益，根据《内蒙古自治区项目支出绩效评价管理办法》的通知（内政办法〔2021〕5号）文件规定，对2023年城镇保障性安居工程</w:t>
      </w:r>
      <w:r>
        <w:rPr>
          <w:rFonts w:hint="eastAsia" w:ascii="仿宋_GB2312" w:hAnsi="仿宋_GB2312" w:eastAsia="仿宋_GB2312" w:cs="仿宋_GB2312"/>
          <w:sz w:val="32"/>
          <w:szCs w:val="32"/>
          <w:lang w:eastAsia="zh-CN"/>
        </w:rPr>
        <w:t>（棚户区改造）</w:t>
      </w:r>
      <w:r>
        <w:rPr>
          <w:rFonts w:hint="eastAsia" w:ascii="仿宋_GB2312" w:hAnsi="仿宋_GB2312" w:eastAsia="仿宋_GB2312" w:cs="仿宋_GB2312"/>
          <w:sz w:val="32"/>
          <w:szCs w:val="32"/>
        </w:rPr>
        <w:t>项目开展绩效评价。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黑体" w:hAnsi="黑体" w:eastAsia="黑体" w:cs="黑体"/>
          <w:b/>
          <w:bCs/>
          <w:sz w:val="32"/>
          <w:szCs w:val="32"/>
        </w:rPr>
      </w:pPr>
      <w:r>
        <w:rPr>
          <w:rFonts w:hint="eastAsia" w:ascii="黑体" w:hAnsi="黑体" w:eastAsia="黑体" w:cs="黑体"/>
          <w:b/>
          <w:bCs/>
          <w:sz w:val="32"/>
          <w:szCs w:val="32"/>
        </w:rPr>
        <w:t>一、基本情况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楷体_GB2312" w:hAnsi="楷体_GB2312" w:eastAsia="楷体_GB2312" w:cs="楷体_GB2312"/>
          <w:b/>
          <w:bCs/>
          <w:sz w:val="32"/>
          <w:szCs w:val="32"/>
          <w:lang w:val="en-US" w:eastAsia="en-US"/>
        </w:rPr>
      </w:pPr>
      <w:r>
        <w:rPr>
          <w:rFonts w:hint="eastAsia" w:ascii="楷体_GB2312" w:hAnsi="楷体_GB2312" w:eastAsia="楷体_GB2312" w:cs="楷体_GB2312"/>
          <w:b/>
          <w:bCs/>
          <w:sz w:val="32"/>
          <w:szCs w:val="32"/>
          <w:lang w:val="en-US" w:eastAsia="en-US"/>
        </w:rPr>
        <w:t>(一)转移支付概况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en-US"/>
        </w:rPr>
        <w:t>2023年城镇保障性安居工程（棚户区改造）项目为2023年非成套住宅棚户区改造项目</w:t>
      </w:r>
      <w:r>
        <w:rPr>
          <w:rFonts w:hint="eastAsia" w:ascii="仿宋_GB2312" w:hAnsi="仿宋_GB2312" w:eastAsia="仿宋_GB2312" w:cs="仿宋_GB2312"/>
          <w:sz w:val="32"/>
          <w:szCs w:val="32"/>
          <w:lang w:val="en-US" w:eastAsia="zh-CN"/>
        </w:rPr>
        <w:t>，改造涉及人数2000人，包括大兰庙桥北片区、自然路以东，治安渠以南、胜利路以西、永济渠以北，进行平房区综合改造。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(二)整体绩效目标情况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2023年城镇保障性安居工程（棚户区改造）项目为2023年非成套住宅棚户区改造项目，该项目的实施提高周边居民出行方便及生活环境，居民对此满意度增加，同时居民的幸福指数也提高，提高城市基础设施建设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(三)区域绩效目标情况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en-US"/>
        </w:rPr>
      </w:pPr>
      <w:r>
        <w:rPr>
          <w:rFonts w:hint="eastAsia" w:ascii="仿宋_GB2312" w:hAnsi="仿宋_GB2312" w:eastAsia="仿宋_GB2312" w:cs="仿宋_GB2312"/>
          <w:sz w:val="32"/>
          <w:szCs w:val="32"/>
          <w:lang w:val="en-US" w:eastAsia="en-US"/>
        </w:rPr>
        <w:t>通过财政支出结果的评价，为政府和社会公众提供财政支出绩效信息，增强预算单位财政支出绩效管理理念，促进财政资金分配和使用更加科学有序，提高财政资金使用效益和效率。通过绩效自评过程反映项目年初制定的目标、计划、预算、定额等完成情况，并以此作为评价标准衡量财政支出绩效目标完成程度的标尺，对项目设定的绩效目标的实现程度进行审核，查找目前工作存在的问题及原因，并及时提出下一步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二、综合评价结论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总体上看，该项目计划科学、决议依据充足、项目管理规范，本项目绩效评价得分为87.5分，具体情况如下表所示：</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项目整体绩效分值</w:t>
      </w:r>
    </w:p>
    <w:tbl>
      <w:tblPr>
        <w:tblStyle w:val="7"/>
        <w:tblpPr w:leftFromText="180" w:rightFromText="180" w:vertAnchor="text" w:horzAnchor="page" w:tblpX="1897" w:tblpY="56"/>
        <w:tblOverlap w:val="never"/>
        <w:tblW w:w="8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140"/>
        <w:gridCol w:w="1125"/>
        <w:gridCol w:w="1260"/>
        <w:gridCol w:w="1245"/>
        <w:gridCol w:w="1034"/>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指标类别</w:t>
            </w:r>
          </w:p>
        </w:tc>
        <w:tc>
          <w:tcPr>
            <w:tcW w:w="114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资金投入</w:t>
            </w:r>
          </w:p>
        </w:tc>
        <w:tc>
          <w:tcPr>
            <w:tcW w:w="112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资金管理</w:t>
            </w:r>
          </w:p>
        </w:tc>
        <w:tc>
          <w:tcPr>
            <w:tcW w:w="126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产出</w:t>
            </w:r>
          </w:p>
        </w:tc>
        <w:tc>
          <w:tcPr>
            <w:tcW w:w="1245"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en-US"/>
              </w:rPr>
            </w:pPr>
            <w:r>
              <w:rPr>
                <w:rFonts w:hint="eastAsia" w:ascii="仿宋_GB2312" w:hAnsi="仿宋_GB2312" w:eastAsia="仿宋_GB2312" w:cs="仿宋_GB2312"/>
                <w:sz w:val="22"/>
                <w:szCs w:val="22"/>
              </w:rPr>
              <w:t>效益</w:t>
            </w:r>
          </w:p>
        </w:tc>
        <w:tc>
          <w:tcPr>
            <w:tcW w:w="1034"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满意度</w:t>
            </w:r>
          </w:p>
        </w:tc>
        <w:tc>
          <w:tcPr>
            <w:tcW w:w="1200" w:type="dxa"/>
            <w:shd w:val="clear" w:color="000000" w:fill="A6A6A6"/>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权重分</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100分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得分分值</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分</w:t>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40</w:t>
            </w:r>
            <w:r>
              <w:rPr>
                <w:rFonts w:hint="eastAsia" w:ascii="仿宋_GB2312" w:hAnsi="仿宋_GB2312" w:eastAsia="仿宋_GB2312" w:cs="仿宋_GB2312"/>
                <w:sz w:val="28"/>
                <w:szCs w:val="28"/>
              </w:rPr>
              <w:t>分</w:t>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28.5</w:t>
            </w:r>
            <w:r>
              <w:rPr>
                <w:rFonts w:hint="eastAsia" w:ascii="仿宋_GB2312" w:hAnsi="仿宋_GB2312" w:eastAsia="仿宋_GB2312" w:cs="仿宋_GB2312"/>
                <w:sz w:val="28"/>
                <w:szCs w:val="28"/>
              </w:rPr>
              <w:t>分</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lang w:val="en-US" w:eastAsia="zh-CN"/>
              </w:rPr>
              <w:t>14</w:t>
            </w:r>
            <w:r>
              <w:rPr>
                <w:rFonts w:hint="eastAsia" w:ascii="仿宋_GB2312" w:hAnsi="仿宋_GB2312" w:eastAsia="仿宋_GB2312" w:cs="仿宋_GB2312"/>
                <w:sz w:val="28"/>
                <w:szCs w:val="28"/>
              </w:rPr>
              <w:t>分</w:t>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5分</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87.5</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=SUM(LEFT) \# "#.00分"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分</w:t>
            </w:r>
            <w:r>
              <w:rPr>
                <w:rFonts w:hint="eastAsia" w:ascii="仿宋_GB2312" w:hAnsi="仿宋_GB2312" w:eastAsia="仿宋_GB2312" w:cs="仿宋_GB2312"/>
                <w:sz w:val="28"/>
                <w:szCs w:val="2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606"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得分率</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14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=B3/B2*100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12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=C3/C2*100 \# "0%"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26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95</w:t>
            </w:r>
            <w:r>
              <w:rPr>
                <w:rFonts w:hint="eastAsia" w:ascii="仿宋_GB2312" w:hAnsi="仿宋_GB2312" w:eastAsia="仿宋_GB2312" w:cs="仿宋_GB2312"/>
                <w:sz w:val="28"/>
                <w:szCs w:val="28"/>
              </w:rPr>
              <w:t>%</w:t>
            </w:r>
          </w:p>
        </w:tc>
        <w:tc>
          <w:tcPr>
            <w:tcW w:w="1245"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en-US"/>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=E3/E2*100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lang w:val="en-US" w:eastAsia="zh-CN"/>
              </w:rPr>
              <w:t>93.33</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c>
          <w:tcPr>
            <w:tcW w:w="1034"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1200" w:type="dxa"/>
            <w:shd w:val="clear" w:color="auto" w:fill="auto"/>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=F3/F2*100 \# "0.00%"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val="en-US" w:eastAsia="zh-CN"/>
              </w:rPr>
              <w:t>7.5</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rPr>
              <w:fldChar w:fldCharType="end"/>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三、绩效情况分析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(一)资金情况分析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本年度资金年初预算数</w:t>
      </w:r>
      <w:r>
        <w:rPr>
          <w:rFonts w:hint="eastAsia" w:ascii="仿宋_GB2312" w:hAnsi="仿宋_GB2312" w:eastAsia="仿宋_GB2312" w:cs="仿宋_GB2312"/>
          <w:sz w:val="32"/>
          <w:szCs w:val="32"/>
        </w:rPr>
        <w:t>280.06万元，其中：财政拨款280.06万元，其他资金0.00万元。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本年度资金全年预算数</w:t>
      </w:r>
      <w:r>
        <w:rPr>
          <w:rFonts w:hint="eastAsia" w:ascii="仿宋_GB2312" w:hAnsi="仿宋_GB2312" w:eastAsia="仿宋_GB2312" w:cs="仿宋_GB2312"/>
          <w:sz w:val="32"/>
          <w:szCs w:val="32"/>
        </w:rPr>
        <w:t>280.06万元，其中：财政拨款280.06万元，其他资金0.00万元。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本年度资金全年执行数</w:t>
      </w:r>
      <w:r>
        <w:rPr>
          <w:rFonts w:hint="eastAsia" w:ascii="仿宋_GB2312" w:hAnsi="仿宋_GB2312" w:eastAsia="仿宋_GB2312" w:cs="仿宋_GB2312"/>
          <w:sz w:val="32"/>
          <w:szCs w:val="32"/>
        </w:rPr>
        <w:t>0.00万元，其中：财政拨款0.00万元，其他资金0.00万元。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lang w:val="en-US" w:eastAsia="en-US"/>
        </w:rPr>
        <w:t>资金管理情况分析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管理指标主要从分配科学性、下达及时性、拨付合规性、使用规范性、执行准确性、预算绩效管理情况、支出责任履行情况和政策目标实现情况等八个方面对资金管理进行评价，该指标权重为40分，评价得分40分，得分率为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1、分配科学性：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根据分配目标，制定相应的分配标准，使分配更加科学和公正，在分配过程中，保持透明和公开，确保分配的科学性和有效性 。该项指标权重分为5分，根据评分标准得5分。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2、下达及时性：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根据资金管理相关要求，制定合理的预算计划，及时更新以确保资金有效利用。该项指标权重分为5分，根据评分标准得5分。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3、拨付合规性：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该项目资金使用符合国家财经法规和财务管理制度的有关规定，有完整的审批程序和手续，不存在截留、挤占、挪用、虚列支出等情况,因此该项指标权重分为5分，根据评分标准得5分。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4、使用规范性：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该项目资金使用符合项目预算批复或合同规定的用途，因此该项指标权重分为5分，根据评分标准得5分。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5、执行准确性：</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该项目的财务及资金支出能够严格按照国家、自治区的相关管理制度执行，制度执行有效，因此该项指标权重分为5分，根据评分标准5分。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6、预算绩效管理情况：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积极推进预算绩效管理工作，加强预算绩效管理流程，扩大管理范围，加强评价结果运用，提高财政资源配置效率和使用效益，同时注重绩效管理的公开透明，接受社会监督。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7、支出责任履行情况：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根据预算和审批程序，支出责任已得到有效履行。该项指标权重分为5分，根据评分标准得5分。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8、政策目标实现情况：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项目实施过程中，加强与相关机构的沟通协调，积极指导享受相关政策，加速政策的落地。该项指标权重分为5分，根据评分标准得5分。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(三)总体目标完成情况分析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en-US"/>
        </w:rPr>
        <w:t>2023年城镇保障性安居工程（棚户区改造）项目为2023年非成套住宅棚户区改造项目，</w:t>
      </w:r>
      <w:r>
        <w:rPr>
          <w:rFonts w:hint="eastAsia" w:ascii="仿宋_GB2312" w:hAnsi="仿宋_GB2312" w:eastAsia="仿宋_GB2312" w:cs="仿宋_GB2312"/>
          <w:sz w:val="32"/>
          <w:szCs w:val="32"/>
          <w:lang w:val="en-US" w:eastAsia="zh-CN"/>
        </w:rPr>
        <w:t>改造涉及人数2000人，</w:t>
      </w:r>
      <w:r>
        <w:rPr>
          <w:rFonts w:hint="eastAsia" w:ascii="仿宋_GB2312" w:hAnsi="仿宋_GB2312" w:eastAsia="仿宋_GB2312" w:cs="仿宋_GB2312"/>
          <w:sz w:val="32"/>
          <w:szCs w:val="32"/>
          <w:lang w:val="en-US" w:eastAsia="en-US"/>
        </w:rPr>
        <w:t>该项目的实施提高周边居民出行方便及生活环境，居民对此满意度增加，同时居民的幸福指数也提高，提高城市基础设施建设能力。</w:t>
      </w:r>
      <w:r>
        <w:rPr>
          <w:rFonts w:hint="eastAsia" w:ascii="仿宋_GB2312" w:hAnsi="仿宋_GB2312" w:eastAsia="仿宋_GB2312" w:cs="仿宋_GB2312"/>
          <w:sz w:val="32"/>
          <w:szCs w:val="32"/>
          <w:lang w:val="en-US" w:eastAsia="zh-CN"/>
        </w:rPr>
        <w:t>目前已完成。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(四)绩效指标完成情况分析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 产出指标完成情况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1、数量指标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1)棚户区改造</w:t>
      </w:r>
      <w:r>
        <w:rPr>
          <w:rFonts w:hint="eastAsia" w:ascii="仿宋_GB2312" w:hAnsi="仿宋_GB2312" w:eastAsia="仿宋_GB2312" w:cs="仿宋_GB2312"/>
          <w:sz w:val="32"/>
          <w:szCs w:val="32"/>
          <w:lang w:val="en-US" w:eastAsia="zh-CN"/>
        </w:rPr>
        <w:t>涉及人</w:t>
      </w:r>
      <w:r>
        <w:rPr>
          <w:rFonts w:hint="eastAsia" w:ascii="仿宋_GB2312" w:hAnsi="仿宋_GB2312" w:eastAsia="仿宋_GB2312" w:cs="仿宋_GB2312"/>
          <w:sz w:val="32"/>
          <w:szCs w:val="32"/>
        </w:rPr>
        <w:t>数，目标值</w:t>
      </w:r>
      <w:r>
        <w:rPr>
          <w:rFonts w:hint="eastAsia" w:ascii="仿宋_GB2312" w:hAnsi="仿宋_GB2312" w:eastAsia="仿宋_GB2312" w:cs="仿宋_GB2312"/>
          <w:sz w:val="32"/>
          <w:szCs w:val="32"/>
          <w:lang w:val="en-US" w:eastAsia="zh-CN"/>
        </w:rPr>
        <w:t>等于2000人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w:t>
      </w:r>
      <w:r>
        <w:rPr>
          <w:rFonts w:hint="eastAsia" w:ascii="仿宋_GB2312" w:hAnsi="仿宋_GB2312" w:eastAsia="仿宋_GB2312" w:cs="仿宋_GB2312"/>
          <w:sz w:val="32"/>
          <w:szCs w:val="32"/>
          <w:lang w:val="en-US" w:eastAsia="zh-CN"/>
        </w:rPr>
        <w:t>2000人</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w:t>
      </w:r>
      <w:r>
        <w:rPr>
          <w:rFonts w:hint="eastAsia" w:ascii="仿宋_GB2312" w:hAnsi="仿宋_GB2312" w:eastAsia="仿宋_GB2312" w:cs="仿宋_GB2312"/>
          <w:sz w:val="32"/>
          <w:szCs w:val="32"/>
          <w:lang w:val="en-US" w:eastAsia="zh-CN"/>
        </w:rPr>
        <w:t>预算</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金额</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w:t>
      </w:r>
      <w:r>
        <w:rPr>
          <w:rFonts w:hint="eastAsia" w:ascii="仿宋_GB2312" w:hAnsi="仿宋_GB2312" w:eastAsia="仿宋_GB2312" w:cs="仿宋_GB2312"/>
          <w:sz w:val="32"/>
          <w:szCs w:val="32"/>
        </w:rPr>
        <w:t>280.06万元，</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完成280.06万元，分值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2、质量指标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3)工程质量达标率，目标值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4)改造后验收合格率，目标值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3、时效指标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5)开工及时率，目标值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改造</w:t>
      </w:r>
      <w:r>
        <w:rPr>
          <w:rFonts w:hint="eastAsia" w:ascii="仿宋_GB2312" w:hAnsi="仿宋_GB2312" w:eastAsia="仿宋_GB2312" w:cs="仿宋_GB2312"/>
          <w:sz w:val="32"/>
          <w:szCs w:val="32"/>
        </w:rPr>
        <w:t>及时率，目标值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98%，</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完成98%，分值</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4、成本指标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val="en-US" w:eastAsia="zh-CN"/>
        </w:rPr>
        <w:t>执行分类分级补助</w:t>
      </w:r>
      <w:r>
        <w:rPr>
          <w:rFonts w:hint="eastAsia" w:ascii="仿宋_GB2312" w:hAnsi="仿宋_GB2312" w:eastAsia="仿宋_GB2312" w:cs="仿宋_GB2312"/>
          <w:sz w:val="32"/>
          <w:szCs w:val="32"/>
        </w:rPr>
        <w:t>，目标值</w:t>
      </w:r>
      <w:r>
        <w:rPr>
          <w:rFonts w:hint="eastAsia" w:ascii="仿宋_GB2312" w:hAnsi="仿宋_GB2312" w:eastAsia="仿宋_GB2312" w:cs="仿宋_GB2312"/>
          <w:sz w:val="32"/>
          <w:szCs w:val="32"/>
          <w:lang w:val="en-US" w:eastAsia="zh-CN"/>
        </w:rPr>
        <w:t>小于等于</w:t>
      </w:r>
      <w:r>
        <w:rPr>
          <w:rFonts w:hint="eastAsia" w:ascii="仿宋_GB2312" w:hAnsi="仿宋_GB2312" w:eastAsia="仿宋_GB2312" w:cs="仿宋_GB2312"/>
          <w:sz w:val="32"/>
          <w:szCs w:val="32"/>
        </w:rPr>
        <w:t>280.06万元，</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完成280.06万元，分值5，得分5。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8)成本控制率，目标值</w:t>
      </w:r>
      <w:r>
        <w:rPr>
          <w:rFonts w:hint="eastAsia" w:ascii="仿宋_GB2312" w:hAnsi="仿宋_GB2312" w:eastAsia="仿宋_GB2312" w:cs="仿宋_GB2312"/>
          <w:sz w:val="32"/>
          <w:szCs w:val="32"/>
          <w:lang w:val="en-US" w:eastAsia="zh-CN"/>
        </w:rPr>
        <w:t>大于等于</w:t>
      </w:r>
      <w:r>
        <w:rPr>
          <w:rFonts w:hint="eastAsia" w:ascii="仿宋_GB2312" w:hAnsi="仿宋_GB2312" w:eastAsia="仿宋_GB2312" w:cs="仿宋_GB2312"/>
          <w:sz w:val="32"/>
          <w:szCs w:val="32"/>
        </w:rPr>
        <w:t>97%，</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完成97%，分值5，得分5。</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 效益指标完成情况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5、经济效益</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该项目无经济效益。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6、社会效益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9)项目建设有效改善居民环境，目标值有效改善，</w:t>
      </w:r>
      <w:r>
        <w:rPr>
          <w:rFonts w:hint="eastAsia" w:ascii="仿宋_GB2312" w:hAnsi="仿宋_GB2312" w:eastAsia="仿宋_GB2312" w:cs="仿宋_GB2312"/>
          <w:sz w:val="32"/>
          <w:szCs w:val="32"/>
          <w:lang w:val="en-US" w:eastAsia="zh-CN"/>
        </w:rPr>
        <w:t>实际</w:t>
      </w:r>
      <w:r>
        <w:rPr>
          <w:rFonts w:hint="eastAsia" w:ascii="仿宋_GB2312" w:hAnsi="仿宋_GB2312" w:eastAsia="仿宋_GB2312" w:cs="仿宋_GB2312"/>
          <w:sz w:val="32"/>
          <w:szCs w:val="32"/>
        </w:rPr>
        <w:t>完成改善，分值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7、生态效益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10)建筑垃圾清运处理，目标值及时清运，</w:t>
      </w:r>
      <w:r>
        <w:rPr>
          <w:rFonts w:hint="eastAsia" w:ascii="仿宋_GB2312" w:hAnsi="仿宋_GB2312" w:eastAsia="仿宋_GB2312" w:cs="仿宋_GB2312"/>
          <w:sz w:val="32"/>
          <w:szCs w:val="32"/>
          <w:lang w:val="en-US" w:eastAsia="zh-CN"/>
        </w:rPr>
        <w:t>实际及时清运</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8、可持续影响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11)配套设施，目标值设施完善，</w:t>
      </w:r>
      <w:r>
        <w:rPr>
          <w:rFonts w:hint="eastAsia" w:ascii="仿宋_GB2312" w:hAnsi="仿宋_GB2312" w:eastAsia="仿宋_GB2312" w:cs="仿宋_GB2312"/>
          <w:sz w:val="32"/>
          <w:szCs w:val="32"/>
          <w:lang w:val="en-US" w:eastAsia="zh-CN"/>
        </w:rPr>
        <w:t>实际逐步完善</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 满意度指标完成情况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9、服务对象满意度</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12)受益对象满意度，目标值满意，</w:t>
      </w:r>
      <w:r>
        <w:rPr>
          <w:rFonts w:hint="eastAsia" w:ascii="仿宋_GB2312" w:hAnsi="仿宋_GB2312" w:eastAsia="仿宋_GB2312" w:cs="仿宋_GB2312"/>
          <w:sz w:val="32"/>
          <w:szCs w:val="32"/>
          <w:lang w:val="en-US" w:eastAsia="zh-CN"/>
        </w:rPr>
        <w:t>实际满意</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四、发现的主要问题和改进措施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1、项目立项、实施全部通过平台交易，暂无问题。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2、加大项目实施进度，严格按照国家标准执行，杜绝豆腐渣工程，操作透明化，</w:t>
      </w:r>
      <w:r>
        <w:rPr>
          <w:rFonts w:hint="eastAsia" w:ascii="仿宋_GB2312" w:hAnsi="仿宋_GB2312" w:eastAsia="仿宋_GB2312" w:cs="仿宋_GB2312"/>
          <w:sz w:val="32"/>
          <w:szCs w:val="32"/>
        </w:rPr>
        <w:t>项目资金</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合理安排和有效利用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确保不超支。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 、绩效自评结果拟应用和公开情况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首先，进一步加强预算绩效管理水平，客观、独立、中肯的进行绩效自评，形成以证据和结果为导向的自评报告，根据政务公开条例的有关规定，按照依法公开、主动公开和依法申请公开的操作流程，公开绩效目标、绩效指标和绩效自评报告，自觉接受社会各方面的监督。</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次，做实“绩效自评”。形成“以证据或结果为导向的绩效评价体系”，真实反映项目自评得分，真正实现“预算”“绩效”深度融合，提升政府公信力，降低行政运行成本，注重经济效益、社会效益、生态效益、可持续发展能力和收益对象满意度，促进项目产出效果的最大化。</w:t>
      </w:r>
      <w:r>
        <w:rPr>
          <w:rFonts w:hint="eastAsia" w:ascii="仿宋_GB2312" w:hAnsi="仿宋_GB2312" w:eastAsia="仿宋_GB2312" w:cs="仿宋_GB2312"/>
          <w:sz w:val="32"/>
          <w:szCs w:val="32"/>
        </w:rPr>
        <w:cr/>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最后，针对本项目实施情况，继续完善代建资金发放新举措、新方法，更高效率的支付项目资金。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六、绩效自评工作开展情况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本项目资金管理严格按照有关制度执行，未发现侵占、截留、挤占、挪用资金的</w:t>
      </w:r>
      <w:bookmarkStart w:id="0" w:name="_GoBack"/>
      <w:bookmarkEnd w:id="0"/>
      <w:r>
        <w:rPr>
          <w:rFonts w:hint="eastAsia" w:ascii="仿宋_GB2312" w:hAnsi="仿宋_GB2312" w:eastAsia="仿宋_GB2312" w:cs="仿宋_GB2312"/>
          <w:sz w:val="32"/>
          <w:szCs w:val="32"/>
        </w:rPr>
        <w:t>现象，加强对项目实施过程的监督，确保做到每一个环节都有监督、有检查、有记录，取得了良好的效益。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项目单位提供了项目涉及的大部分基础工作材料和专项资金财务核算资料，并对其真实性、合法性、完整性负责。绩效评价的可靠性基于上述资料真实性、完整性。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八、附件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转移支付整体绩效自评表</w:t>
      </w: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_GB2312" w:hAnsi="仿宋_GB2312" w:eastAsia="仿宋_GB2312" w:cs="仿宋_GB2312"/>
          <w:sz w:val="32"/>
          <w:szCs w:val="32"/>
        </w:rPr>
        <w:sectPr>
          <w:footerReference r:id="rId5" w:type="default"/>
          <w:pgSz w:w="11900" w:h="16840"/>
          <w:pgMar w:top="2098" w:right="1474" w:bottom="1984" w:left="1587" w:header="0" w:footer="1206" w:gutter="0"/>
          <w:pgNumType w:fmt="decimal"/>
          <w:cols w:space="720" w:num="1"/>
        </w:sectPr>
      </w:pPr>
    </w:p>
    <w:p>
      <w:pPr>
        <w:rPr>
          <w:rFonts w:hint="eastAsia" w:ascii="仿宋_GB2312" w:hAnsi="仿宋_GB2312" w:eastAsia="仿宋_GB2312" w:cs="仿宋_GB2312"/>
        </w:rPr>
      </w:pPr>
      <w:r>
        <w:rPr>
          <w:rFonts w:hint="eastAsia" w:ascii="仿宋_GB2312" w:hAnsi="仿宋_GB2312" w:eastAsia="仿宋_GB2312" w:cs="仿宋_GB2312"/>
        </w:rPr>
        <w:t>附件4</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2023年城镇保障性安居工程</w:t>
      </w:r>
      <w:r>
        <w:rPr>
          <w:rFonts w:hint="eastAsia" w:asciiTheme="minorEastAsia" w:hAnsiTheme="minorEastAsia" w:eastAsiaTheme="minorEastAsia" w:cstheme="minorEastAsia"/>
          <w:b/>
          <w:bCs/>
          <w:sz w:val="24"/>
          <w:szCs w:val="24"/>
          <w:lang w:eastAsia="zh-CN"/>
        </w:rPr>
        <w:t>（棚户区改造）</w:t>
      </w:r>
      <w:r>
        <w:rPr>
          <w:rFonts w:hint="eastAsia" w:asciiTheme="minorEastAsia" w:hAnsiTheme="minorEastAsia" w:eastAsiaTheme="minorEastAsia" w:cstheme="minorEastAsia"/>
          <w:b/>
          <w:bCs/>
          <w:sz w:val="24"/>
          <w:szCs w:val="24"/>
        </w:rPr>
        <w:t>项目转移支付整体绩效自评表</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(2023年度)</w:t>
      </w:r>
    </w:p>
    <w:p>
      <w:pPr>
        <w:rPr>
          <w:rFonts w:hint="eastAsia" w:ascii="仿宋_GB2312" w:hAnsi="仿宋_GB2312" w:eastAsia="仿宋_GB2312" w:cs="仿宋_GB2312"/>
        </w:rPr>
      </w:pPr>
    </w:p>
    <w:tbl>
      <w:tblPr>
        <w:tblStyle w:val="9"/>
        <w:tblW w:w="9209" w:type="dxa"/>
        <w:tblInd w:w="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4"/>
        <w:gridCol w:w="370"/>
        <w:gridCol w:w="799"/>
        <w:gridCol w:w="1738"/>
        <w:gridCol w:w="899"/>
        <w:gridCol w:w="909"/>
        <w:gridCol w:w="895"/>
        <w:gridCol w:w="660"/>
        <w:gridCol w:w="363"/>
        <w:gridCol w:w="669"/>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转移支付名称</w:t>
            </w:r>
          </w:p>
        </w:tc>
        <w:tc>
          <w:tcPr>
            <w:tcW w:w="7656" w:type="dxa"/>
            <w:gridSpan w:val="8"/>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2023年城镇保障性安居工程</w:t>
            </w:r>
            <w:r>
              <w:rPr>
                <w:rFonts w:hint="eastAsia" w:asciiTheme="minorEastAsia" w:hAnsiTheme="minorEastAsia" w:eastAsiaTheme="minorEastAsia" w:cstheme="minorEastAsia"/>
                <w:sz w:val="16"/>
                <w:szCs w:val="16"/>
                <w:lang w:eastAsia="zh-CN"/>
              </w:rPr>
              <w:t>（棚户区改造）</w:t>
            </w:r>
            <w:r>
              <w:rPr>
                <w:rFonts w:hint="eastAsia" w:asciiTheme="minorEastAsia" w:hAnsiTheme="minorEastAsia" w:eastAsiaTheme="minorEastAsia" w:cstheme="minorEastAsia"/>
                <w:sz w:val="16"/>
                <w:szCs w:val="16"/>
              </w:rPr>
              <w:t>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553" w:type="dxa"/>
            <w:gridSpan w:val="3"/>
            <w:vAlign w:val="top"/>
          </w:tcPr>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中央主管部门</w:t>
            </w:r>
          </w:p>
        </w:tc>
        <w:tc>
          <w:tcPr>
            <w:tcW w:w="7656" w:type="dxa"/>
            <w:gridSpan w:val="8"/>
            <w:vAlign w:val="top"/>
          </w:tcPr>
          <w:p>
            <w:pPr>
              <w:rPr>
                <w:rFonts w:hint="eastAsia" w:asciiTheme="minorEastAsia" w:hAnsiTheme="minorEastAsia" w:eastAsiaTheme="minorEastAsia" w:cstheme="minorEastAsi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553" w:type="dxa"/>
            <w:gridSpan w:val="3"/>
            <w:vMerge w:val="restart"/>
            <w:tcBorders>
              <w:bottom w:val="nil"/>
            </w:tcBorders>
            <w:vAlign w:val="top"/>
          </w:tcPr>
          <w:p>
            <w:pPr>
              <w:rPr>
                <w:rFonts w:hint="eastAsia" w:ascii="宋体" w:hAnsi="宋体" w:eastAsia="宋体" w:cs="宋体"/>
                <w:sz w:val="15"/>
                <w:szCs w:val="15"/>
              </w:rPr>
            </w:pPr>
          </w:p>
          <w:p>
            <w:pPr>
              <w:rPr>
                <w:rFonts w:hint="eastAsia" w:ascii="宋体" w:hAnsi="宋体" w:eastAsia="宋体" w:cs="宋体"/>
                <w:sz w:val="15"/>
                <w:szCs w:val="15"/>
              </w:rPr>
            </w:pPr>
            <w:r>
              <w:rPr>
                <w:rFonts w:hint="eastAsia" w:ascii="宋体" w:hAnsi="宋体" w:eastAsia="宋体" w:cs="宋体"/>
                <w:sz w:val="15"/>
                <w:szCs w:val="15"/>
              </w:rPr>
              <w:t>资金投入情况</w:t>
            </w:r>
          </w:p>
          <w:p>
            <w:pPr>
              <w:rPr>
                <w:rFonts w:hint="eastAsia" w:ascii="宋体" w:hAnsi="宋体" w:eastAsia="宋体" w:cs="宋体"/>
                <w:sz w:val="15"/>
                <w:szCs w:val="15"/>
              </w:rPr>
            </w:pPr>
            <w:r>
              <w:rPr>
                <w:rFonts w:hint="eastAsia" w:ascii="宋体" w:hAnsi="宋体" w:eastAsia="宋体" w:cs="宋体"/>
                <w:sz w:val="15"/>
                <w:szCs w:val="15"/>
              </w:rPr>
              <w:t>(万元)</w:t>
            </w:r>
          </w:p>
        </w:tc>
        <w:tc>
          <w:tcPr>
            <w:tcW w:w="1738" w:type="dxa"/>
            <w:vAlign w:val="top"/>
          </w:tcPr>
          <w:p>
            <w:pPr>
              <w:jc w:val="center"/>
              <w:rPr>
                <w:rFonts w:hint="eastAsia" w:ascii="宋体" w:hAnsi="宋体" w:eastAsia="宋体" w:cs="宋体"/>
                <w:sz w:val="15"/>
                <w:szCs w:val="15"/>
              </w:rPr>
            </w:pPr>
          </w:p>
        </w:tc>
        <w:tc>
          <w:tcPr>
            <w:tcW w:w="89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年初预算数</w:t>
            </w:r>
          </w:p>
        </w:tc>
        <w:tc>
          <w:tcPr>
            <w:tcW w:w="909"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全年预算数</w:t>
            </w:r>
          </w:p>
          <w:p>
            <w:pPr>
              <w:jc w:val="center"/>
              <w:rPr>
                <w:rFonts w:hint="eastAsia" w:ascii="宋体" w:hAnsi="宋体" w:eastAsia="宋体" w:cs="宋体"/>
                <w:sz w:val="15"/>
                <w:szCs w:val="15"/>
              </w:rPr>
            </w:pPr>
            <w:r>
              <w:rPr>
                <w:rFonts w:hint="eastAsia" w:ascii="宋体" w:hAnsi="宋体" w:eastAsia="宋体" w:cs="宋体"/>
                <w:sz w:val="15"/>
                <w:szCs w:val="15"/>
              </w:rPr>
              <w:t>(A)</w:t>
            </w:r>
          </w:p>
        </w:tc>
        <w:tc>
          <w:tcPr>
            <w:tcW w:w="895"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全年执行数</w:t>
            </w:r>
          </w:p>
          <w:p>
            <w:pPr>
              <w:jc w:val="center"/>
              <w:rPr>
                <w:rFonts w:hint="eastAsia" w:ascii="宋体" w:hAnsi="宋体" w:eastAsia="宋体" w:cs="宋体"/>
                <w:sz w:val="15"/>
                <w:szCs w:val="15"/>
              </w:rPr>
            </w:pPr>
            <w:r>
              <w:rPr>
                <w:rFonts w:hint="eastAsia" w:ascii="宋体" w:hAnsi="宋体" w:eastAsia="宋体" w:cs="宋体"/>
                <w:sz w:val="15"/>
                <w:szCs w:val="15"/>
              </w:rPr>
              <w:t>(B)</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分值</w:t>
            </w:r>
          </w:p>
        </w:tc>
        <w:tc>
          <w:tcPr>
            <w:tcW w:w="1032" w:type="dxa"/>
            <w:gridSpan w:val="2"/>
            <w:vAlign w:val="top"/>
          </w:tcPr>
          <w:p>
            <w:pPr>
              <w:jc w:val="center"/>
              <w:rPr>
                <w:rFonts w:hint="eastAsia" w:ascii="宋体" w:hAnsi="宋体" w:eastAsia="宋体" w:cs="宋体"/>
                <w:sz w:val="15"/>
                <w:szCs w:val="15"/>
              </w:rPr>
            </w:pPr>
            <w:r>
              <w:rPr>
                <w:rFonts w:hint="eastAsia" w:ascii="宋体" w:hAnsi="宋体" w:eastAsia="宋体" w:cs="宋体"/>
                <w:sz w:val="15"/>
                <w:szCs w:val="15"/>
              </w:rPr>
              <w:t>执行率</w:t>
            </w:r>
          </w:p>
          <w:p>
            <w:pPr>
              <w:jc w:val="center"/>
              <w:rPr>
                <w:rFonts w:hint="eastAsia" w:ascii="宋体" w:hAnsi="宋体" w:eastAsia="宋体" w:cs="宋体"/>
                <w:sz w:val="15"/>
                <w:szCs w:val="15"/>
              </w:rPr>
            </w:pPr>
            <w:r>
              <w:rPr>
                <w:rFonts w:hint="eastAsia" w:ascii="宋体" w:hAnsi="宋体" w:eastAsia="宋体" w:cs="宋体"/>
                <w:sz w:val="15"/>
                <w:szCs w:val="15"/>
              </w:rPr>
              <w:t>(B/A×100%)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年度资金总额：</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280.06</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280.06</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10</w:t>
            </w:r>
          </w:p>
        </w:tc>
        <w:tc>
          <w:tcPr>
            <w:tcW w:w="1032" w:type="dxa"/>
            <w:gridSpan w:val="2"/>
            <w:vAlign w:val="top"/>
          </w:tcPr>
          <w:p>
            <w:pPr>
              <w:jc w:val="center"/>
              <w:rPr>
                <w:rFonts w:hint="eastAsia" w:ascii="宋体" w:hAnsi="宋体" w:eastAsia="宋体" w:cs="宋体"/>
                <w:sz w:val="15"/>
                <w:szCs w:val="15"/>
              </w:rPr>
            </w:pPr>
          </w:p>
        </w:tc>
        <w:tc>
          <w:tcPr>
            <w:tcW w:w="1523"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其中：中央财政资金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280.06</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280.06</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地方财政资金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r>
              <w:rPr>
                <w:rFonts w:hint="eastAsia" w:ascii="宋体" w:hAnsi="宋体" w:eastAsia="宋体" w:cs="宋体"/>
                <w:sz w:val="15"/>
                <w:szCs w:val="15"/>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5"/>
                <w:szCs w:val="15"/>
              </w:rPr>
            </w:pPr>
          </w:p>
        </w:tc>
        <w:tc>
          <w:tcPr>
            <w:tcW w:w="1738" w:type="dxa"/>
            <w:vAlign w:val="top"/>
          </w:tcPr>
          <w:p>
            <w:pPr>
              <w:rPr>
                <w:rFonts w:hint="eastAsia" w:ascii="宋体" w:hAnsi="宋体" w:eastAsia="宋体" w:cs="宋体"/>
                <w:sz w:val="15"/>
                <w:szCs w:val="15"/>
              </w:rPr>
            </w:pPr>
            <w:r>
              <w:rPr>
                <w:rFonts w:hint="eastAsia" w:ascii="宋体" w:hAnsi="宋体" w:eastAsia="宋体" w:cs="宋体"/>
                <w:sz w:val="15"/>
                <w:szCs w:val="15"/>
              </w:rPr>
              <w:t>其他资金</w:t>
            </w:r>
          </w:p>
        </w:tc>
        <w:tc>
          <w:tcPr>
            <w:tcW w:w="89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909"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895" w:type="dxa"/>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660" w:type="dxa"/>
            <w:vAlign w:val="top"/>
          </w:tcPr>
          <w:p>
            <w:pPr>
              <w:jc w:val="center"/>
              <w:rPr>
                <w:rFonts w:hint="eastAsia" w:ascii="宋体" w:hAnsi="宋体" w:eastAsia="宋体" w:cs="宋体"/>
                <w:sz w:val="15"/>
                <w:szCs w:val="15"/>
              </w:rPr>
            </w:pPr>
          </w:p>
        </w:tc>
        <w:tc>
          <w:tcPr>
            <w:tcW w:w="1032" w:type="dxa"/>
            <w:gridSpan w:val="2"/>
            <w:vAlign w:val="top"/>
          </w:tcPr>
          <w:p>
            <w:pPr>
              <w:jc w:val="center"/>
              <w:rPr>
                <w:rFonts w:hint="eastAsia" w:ascii="宋体" w:hAnsi="宋体" w:eastAsia="宋体" w:cs="宋体"/>
                <w:sz w:val="15"/>
                <w:szCs w:val="15"/>
                <w:lang w:val="en-US" w:eastAsia="zh-CN"/>
              </w:rPr>
            </w:pPr>
            <w:r>
              <w:rPr>
                <w:rFonts w:hint="eastAsia" w:ascii="宋体" w:hAnsi="宋体" w:eastAsia="宋体" w:cs="宋体"/>
                <w:sz w:val="15"/>
                <w:szCs w:val="15"/>
                <w:lang w:val="en-US" w:eastAsia="zh-CN"/>
              </w:rPr>
              <w:t>0</w:t>
            </w:r>
          </w:p>
        </w:tc>
        <w:tc>
          <w:tcPr>
            <w:tcW w:w="1523" w:type="dxa"/>
            <w:vAlign w:val="top"/>
          </w:tcPr>
          <w:p>
            <w:pPr>
              <w:jc w:val="center"/>
              <w:rPr>
                <w:rFonts w:hint="eastAsia" w:ascii="宋体" w:hAnsi="宋体" w:eastAsia="宋体" w:cs="宋体"/>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 w:hRule="atLeast"/>
        </w:trPr>
        <w:tc>
          <w:tcPr>
            <w:tcW w:w="1553" w:type="dxa"/>
            <w:gridSpan w:val="3"/>
            <w:vMerge w:val="restart"/>
            <w:tcBorders>
              <w:bottom w:val="nil"/>
            </w:tcBorders>
            <w:vAlign w:val="top"/>
          </w:tcPr>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p>
          <w:p>
            <w:pPr>
              <w:rPr>
                <w:rFonts w:hint="eastAsia" w:ascii="宋体" w:hAnsi="宋体" w:eastAsia="宋体" w:cs="宋体"/>
                <w:sz w:val="16"/>
                <w:szCs w:val="16"/>
              </w:rPr>
            </w:pPr>
            <w:r>
              <w:rPr>
                <w:rFonts w:hint="eastAsia" w:ascii="宋体" w:hAnsi="宋体" w:eastAsia="宋体" w:cs="宋体"/>
                <w:sz w:val="16"/>
                <w:szCs w:val="16"/>
              </w:rPr>
              <w:t>资金管理情况</w:t>
            </w:r>
          </w:p>
        </w:tc>
        <w:tc>
          <w:tcPr>
            <w:tcW w:w="1738" w:type="dxa"/>
            <w:vAlign w:val="top"/>
          </w:tcPr>
          <w:p>
            <w:pPr>
              <w:jc w:val="center"/>
              <w:rPr>
                <w:rFonts w:hint="eastAsia" w:ascii="宋体" w:hAnsi="宋体" w:eastAsia="宋体" w:cs="宋体"/>
                <w:sz w:val="16"/>
                <w:szCs w:val="16"/>
              </w:rPr>
            </w:pPr>
          </w:p>
        </w:tc>
        <w:tc>
          <w:tcPr>
            <w:tcW w:w="2703" w:type="dxa"/>
            <w:gridSpan w:val="3"/>
            <w:vAlign w:val="top"/>
          </w:tcPr>
          <w:p>
            <w:pPr>
              <w:jc w:val="center"/>
              <w:rPr>
                <w:rFonts w:hint="eastAsia" w:ascii="宋体" w:hAnsi="宋体" w:eastAsia="宋体" w:cs="宋体"/>
                <w:sz w:val="16"/>
                <w:szCs w:val="16"/>
              </w:rPr>
            </w:pPr>
            <w:r>
              <w:rPr>
                <w:rFonts w:hint="eastAsia" w:ascii="宋体" w:hAnsi="宋体" w:eastAsia="宋体" w:cs="宋体"/>
                <w:sz w:val="16"/>
                <w:szCs w:val="16"/>
              </w:rPr>
              <w:t>情况说明</w:t>
            </w:r>
          </w:p>
        </w:tc>
        <w:tc>
          <w:tcPr>
            <w:tcW w:w="660" w:type="dxa"/>
            <w:vAlign w:val="top"/>
          </w:tcPr>
          <w:p>
            <w:pPr>
              <w:jc w:val="center"/>
              <w:rPr>
                <w:rFonts w:hint="eastAsia" w:ascii="宋体" w:hAnsi="宋体" w:eastAsia="宋体" w:cs="宋体"/>
                <w:sz w:val="16"/>
                <w:szCs w:val="16"/>
                <w:lang w:eastAsia="zh-CN"/>
              </w:rPr>
            </w:pPr>
            <w:r>
              <w:rPr>
                <w:rFonts w:hint="eastAsia" w:ascii="宋体" w:hAnsi="宋体" w:eastAsia="宋体" w:cs="宋体"/>
                <w:sz w:val="16"/>
                <w:szCs w:val="16"/>
              </w:rPr>
              <w:t>分值</w:t>
            </w:r>
          </w:p>
          <w:p>
            <w:pPr>
              <w:jc w:val="center"/>
              <w:rPr>
                <w:rFonts w:hint="eastAsia" w:ascii="宋体" w:hAnsi="宋体" w:eastAsia="宋体" w:cs="宋体"/>
                <w:sz w:val="16"/>
                <w:szCs w:val="16"/>
              </w:rPr>
            </w:pPr>
            <w:r>
              <w:rPr>
                <w:rFonts w:hint="eastAsia" w:ascii="宋体" w:hAnsi="宋体" w:eastAsia="宋体" w:cs="宋体"/>
                <w:sz w:val="16"/>
                <w:szCs w:val="16"/>
              </w:rPr>
              <w:t>(40)</w:t>
            </w:r>
          </w:p>
        </w:tc>
        <w:tc>
          <w:tcPr>
            <w:tcW w:w="363"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192"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存在问题和改进措施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分配科学性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按照项目进度科学分配</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下达及时性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拨付合规性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拨付流程合规</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使用规范性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资金使用符合规范</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执行准确性</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执行准确</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预算绩效管理悄况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预算绩效管理情况良好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1553" w:type="dxa"/>
            <w:gridSpan w:val="3"/>
            <w:vMerge w:val="continue"/>
            <w:tcBorders>
              <w:top w:val="nil"/>
              <w:bottom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支出责任履行情况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支出责任履行情况良好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1553" w:type="dxa"/>
            <w:gridSpan w:val="3"/>
            <w:vMerge w:val="continue"/>
            <w:tcBorders>
              <w:top w:val="nil"/>
            </w:tcBorders>
            <w:vAlign w:val="top"/>
          </w:tcPr>
          <w:p>
            <w:pPr>
              <w:rPr>
                <w:rFonts w:hint="eastAsia" w:ascii="宋体" w:hAnsi="宋体" w:eastAsia="宋体" w:cs="宋体"/>
                <w:sz w:val="16"/>
                <w:szCs w:val="16"/>
              </w:rPr>
            </w:pPr>
          </w:p>
        </w:tc>
        <w:tc>
          <w:tcPr>
            <w:tcW w:w="1738" w:type="dxa"/>
            <w:vAlign w:val="top"/>
          </w:tcPr>
          <w:p>
            <w:pPr>
              <w:rPr>
                <w:rFonts w:hint="eastAsia" w:ascii="宋体" w:hAnsi="宋体" w:eastAsia="宋体" w:cs="宋体"/>
                <w:sz w:val="16"/>
                <w:szCs w:val="16"/>
              </w:rPr>
            </w:pPr>
            <w:r>
              <w:rPr>
                <w:rFonts w:hint="eastAsia" w:ascii="宋体" w:hAnsi="宋体" w:eastAsia="宋体" w:cs="宋体"/>
                <w:sz w:val="16"/>
                <w:szCs w:val="16"/>
              </w:rPr>
              <w:t>政策目标实现情况</w:t>
            </w:r>
          </w:p>
        </w:tc>
        <w:tc>
          <w:tcPr>
            <w:tcW w:w="2703" w:type="dxa"/>
            <w:gridSpan w:val="3"/>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政策目标实现情况良好</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trPr>
        <w:tc>
          <w:tcPr>
            <w:tcW w:w="384" w:type="dxa"/>
            <w:vMerge w:val="restart"/>
            <w:tcBorders>
              <w:bottom w:val="nil"/>
            </w:tcBorders>
            <w:textDirection w:val="btLr"/>
            <w:vAlign w:val="top"/>
          </w:tcPr>
          <w:p>
            <w:pPr>
              <w:rPr>
                <w:rFonts w:hint="eastAsia" w:ascii="宋体" w:hAnsi="宋体" w:eastAsia="宋体" w:cs="宋体"/>
                <w:sz w:val="15"/>
                <w:szCs w:val="15"/>
                <w:lang w:val="en-US" w:eastAsia="zh-CN"/>
              </w:rPr>
            </w:pPr>
          </w:p>
        </w:tc>
        <w:tc>
          <w:tcPr>
            <w:tcW w:w="4715"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总体目标</w:t>
            </w:r>
          </w:p>
        </w:tc>
        <w:tc>
          <w:tcPr>
            <w:tcW w:w="4110" w:type="dxa"/>
            <w:gridSpan w:val="5"/>
            <w:vAlign w:val="top"/>
          </w:tcPr>
          <w:p>
            <w:pPr>
              <w:jc w:val="center"/>
              <w:rPr>
                <w:rFonts w:hint="eastAsia" w:ascii="宋体" w:hAnsi="宋体" w:eastAsia="宋体" w:cs="宋体"/>
                <w:sz w:val="15"/>
                <w:szCs w:val="15"/>
              </w:rPr>
            </w:pPr>
            <w:r>
              <w:rPr>
                <w:rFonts w:hint="eastAsia" w:ascii="宋体" w:hAnsi="宋体" w:eastAsia="宋体" w:cs="宋体"/>
                <w:sz w:val="15"/>
                <w:szCs w:val="15"/>
              </w:rPr>
              <w:t>全年实际完成情况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384" w:type="dxa"/>
            <w:vMerge w:val="continue"/>
            <w:tcBorders>
              <w:top w:val="nil"/>
            </w:tcBorders>
            <w:textDirection w:val="btLr"/>
            <w:vAlign w:val="top"/>
          </w:tcPr>
          <w:p>
            <w:pPr>
              <w:rPr>
                <w:rFonts w:hint="eastAsia" w:ascii="宋体" w:hAnsi="宋体" w:eastAsia="宋体" w:cs="宋体"/>
                <w:sz w:val="15"/>
                <w:szCs w:val="15"/>
              </w:rPr>
            </w:pPr>
          </w:p>
        </w:tc>
        <w:tc>
          <w:tcPr>
            <w:tcW w:w="4715" w:type="dxa"/>
            <w:gridSpan w:val="5"/>
            <w:vAlign w:val="top"/>
          </w:tcPr>
          <w:p>
            <w:pPr>
              <w:rPr>
                <w:rFonts w:hint="eastAsia" w:ascii="宋体" w:hAnsi="宋体" w:eastAsia="宋体" w:cs="宋体"/>
                <w:sz w:val="15"/>
                <w:szCs w:val="15"/>
              </w:rPr>
            </w:pPr>
            <w:r>
              <w:rPr>
                <w:rFonts w:hint="eastAsia" w:ascii="宋体" w:hAnsi="宋体" w:eastAsia="宋体" w:cs="宋体"/>
                <w:sz w:val="15"/>
                <w:szCs w:val="15"/>
                <w:lang w:val="en-US" w:eastAsia="en-US"/>
              </w:rPr>
              <w:t>2023年城镇保障性安居工程（棚户区改造）项目为2023年非成套住宅棚户区改造项目，</w:t>
            </w:r>
            <w:r>
              <w:rPr>
                <w:rFonts w:hint="eastAsia" w:ascii="宋体" w:hAnsi="宋体" w:eastAsia="宋体" w:cs="宋体"/>
                <w:sz w:val="15"/>
                <w:szCs w:val="15"/>
                <w:lang w:val="en-US" w:eastAsia="zh-CN"/>
              </w:rPr>
              <w:t>改造涉及人数2000人，</w:t>
            </w:r>
            <w:r>
              <w:rPr>
                <w:rFonts w:hint="eastAsia" w:ascii="宋体" w:hAnsi="宋体" w:eastAsia="宋体" w:cs="宋体"/>
                <w:sz w:val="15"/>
                <w:szCs w:val="15"/>
                <w:lang w:val="en-US" w:eastAsia="en-US"/>
              </w:rPr>
              <w:t>该项目的实施提高周边居民出行方便及生活环境，居民对此满意度增加，同时居民的幸福指数也提高，提高城市基础设施建设能力。</w:t>
            </w:r>
          </w:p>
        </w:tc>
        <w:tc>
          <w:tcPr>
            <w:tcW w:w="4110" w:type="dxa"/>
            <w:gridSpan w:val="5"/>
            <w:vAlign w:val="top"/>
          </w:tcPr>
          <w:p>
            <w:pPr>
              <w:rPr>
                <w:rFonts w:hint="eastAsia" w:ascii="宋体" w:hAnsi="宋体" w:eastAsia="宋体" w:cs="宋体"/>
                <w:sz w:val="15"/>
                <w:szCs w:val="15"/>
                <w:lang w:val="en-US"/>
              </w:rPr>
            </w:pPr>
            <w:r>
              <w:rPr>
                <w:rFonts w:hint="eastAsia" w:ascii="宋体" w:hAnsi="宋体" w:eastAsia="宋体" w:cs="宋体"/>
                <w:sz w:val="15"/>
                <w:szCs w:val="15"/>
                <w:lang w:val="en-US" w:eastAsia="en-US"/>
              </w:rPr>
              <w:t>2023年城镇保障性安居工程（棚户区改造）项目为2023年非成套住宅棚户区改造项目，</w:t>
            </w:r>
            <w:r>
              <w:rPr>
                <w:rFonts w:hint="eastAsia" w:ascii="宋体" w:hAnsi="宋体" w:eastAsia="宋体" w:cs="宋体"/>
                <w:sz w:val="15"/>
                <w:szCs w:val="15"/>
                <w:lang w:val="en-US" w:eastAsia="zh-CN"/>
              </w:rPr>
              <w:t>改造涉及人数2000人，目前已完成。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384"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绩效指标</w:t>
            </w:r>
          </w:p>
        </w:tc>
        <w:tc>
          <w:tcPr>
            <w:tcW w:w="37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一级 指标</w:t>
            </w:r>
          </w:p>
        </w:tc>
        <w:tc>
          <w:tcPr>
            <w:tcW w:w="79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二级指标</w:t>
            </w:r>
          </w:p>
        </w:tc>
        <w:tc>
          <w:tcPr>
            <w:tcW w:w="2637"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三级指标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指标值</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全年实际完 成值</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分值</w:t>
            </w:r>
          </w:p>
        </w:tc>
        <w:tc>
          <w:tcPr>
            <w:tcW w:w="363"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得分</w:t>
            </w:r>
          </w:p>
        </w:tc>
        <w:tc>
          <w:tcPr>
            <w:tcW w:w="2192" w:type="dxa"/>
            <w:gridSpan w:val="2"/>
            <w:vAlign w:val="top"/>
          </w:tcPr>
          <w:p>
            <w:pPr>
              <w:jc w:val="center"/>
              <w:rPr>
                <w:rFonts w:hint="eastAsia" w:ascii="宋体" w:hAnsi="宋体" w:eastAsia="宋体" w:cs="宋体"/>
                <w:sz w:val="16"/>
                <w:szCs w:val="16"/>
              </w:rPr>
            </w:pPr>
            <w:r>
              <w:rPr>
                <w:rFonts w:hint="eastAsia" w:ascii="宋体" w:hAnsi="宋体" w:eastAsia="宋体" w:cs="宋体"/>
                <w:sz w:val="16"/>
                <w:szCs w:val="16"/>
              </w:rPr>
              <w:t>未完成原因和改进措施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产出指标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数量指标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改造涉及人数</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2000人</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rPr>
              <w:t>项目</w:t>
            </w:r>
            <w:r>
              <w:rPr>
                <w:rFonts w:hint="eastAsia" w:ascii="宋体" w:hAnsi="宋体" w:eastAsia="宋体" w:cs="宋体"/>
                <w:sz w:val="16"/>
                <w:szCs w:val="16"/>
                <w:lang w:val="en-US" w:eastAsia="zh-CN"/>
              </w:rPr>
              <w:t>预算支出金额</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280.06万元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280.06万元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质量指标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工程质量达标率</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改造后验收合格率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时效指标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开工及时率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3</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改造</w:t>
            </w:r>
            <w:r>
              <w:rPr>
                <w:rFonts w:hint="eastAsia" w:ascii="宋体" w:hAnsi="宋体" w:eastAsia="宋体" w:cs="宋体"/>
                <w:sz w:val="16"/>
                <w:szCs w:val="16"/>
              </w:rPr>
              <w:t>及时率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≥98%</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0.5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成本指标</w:t>
            </w:r>
          </w:p>
        </w:tc>
        <w:tc>
          <w:tcPr>
            <w:tcW w:w="2637" w:type="dxa"/>
            <w:gridSpan w:val="2"/>
            <w:vAlign w:val="top"/>
          </w:tcPr>
          <w:p>
            <w:pP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执行分类分级补助</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280.06万元</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280.06万元</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成本控制率</w:t>
            </w:r>
          </w:p>
        </w:tc>
        <w:tc>
          <w:tcPr>
            <w:tcW w:w="909"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895" w:type="dxa"/>
            <w:vAlign w:val="top"/>
          </w:tcPr>
          <w:p>
            <w:pPr>
              <w:jc w:val="center"/>
              <w:rPr>
                <w:rFonts w:hint="eastAsia" w:ascii="宋体" w:hAnsi="宋体" w:eastAsia="宋体" w:cs="宋体"/>
                <w:sz w:val="16"/>
                <w:szCs w:val="16"/>
              </w:rPr>
            </w:pPr>
            <w:r>
              <w:rPr>
                <w:rFonts w:hint="eastAsia" w:ascii="宋体" w:hAnsi="宋体" w:eastAsia="宋体" w:cs="宋体"/>
                <w:sz w:val="16"/>
                <w:szCs w:val="16"/>
                <w:lang w:val="en-US" w:eastAsia="zh-CN"/>
              </w:rPr>
              <w:t>≥97%</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textDirection w:val="tbRlV"/>
            <w:vAlign w:val="top"/>
          </w:tcPr>
          <w:p>
            <w:pPr>
              <w:jc w:val="center"/>
              <w:rPr>
                <w:rFonts w:hint="eastAsia" w:ascii="宋体" w:hAnsi="宋体" w:eastAsia="宋体" w:cs="宋体"/>
                <w:sz w:val="16"/>
                <w:szCs w:val="16"/>
              </w:rPr>
            </w:pPr>
            <w:r>
              <w:rPr>
                <w:rFonts w:hint="eastAsia" w:ascii="宋体" w:hAnsi="宋体" w:eastAsia="宋体" w:cs="宋体"/>
                <w:sz w:val="16"/>
                <w:szCs w:val="16"/>
              </w:rPr>
              <w:t>效益指标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经济效益 指标</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社会效益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项目建设有效改善居民环境</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有效改善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lang w:val="en-US" w:eastAsia="zh-CN"/>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生态效益 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建筑垃圾清运处理</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及时清运</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可持续影</w:t>
            </w:r>
          </w:p>
          <w:p>
            <w:pPr>
              <w:rPr>
                <w:rFonts w:hint="eastAsia" w:ascii="宋体" w:hAnsi="宋体" w:eastAsia="宋体" w:cs="宋体"/>
                <w:sz w:val="16"/>
                <w:szCs w:val="16"/>
              </w:rPr>
            </w:pPr>
            <w:r>
              <w:rPr>
                <w:rFonts w:hint="eastAsia" w:ascii="宋体" w:hAnsi="宋体" w:eastAsia="宋体" w:cs="宋体"/>
                <w:sz w:val="16"/>
                <w:szCs w:val="16"/>
              </w:rPr>
              <w:t>响指标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配套设施</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设施完善</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4</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textDirection w:val="tbRlV"/>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textDirection w:val="tbRlV"/>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满意</w:t>
            </w:r>
          </w:p>
          <w:p>
            <w:pPr>
              <w:rPr>
                <w:rFonts w:hint="eastAsia" w:ascii="宋体" w:hAnsi="宋体" w:eastAsia="宋体" w:cs="宋体"/>
                <w:sz w:val="16"/>
                <w:szCs w:val="16"/>
              </w:rPr>
            </w:pPr>
            <w:r>
              <w:rPr>
                <w:rFonts w:hint="eastAsia" w:ascii="宋体" w:hAnsi="宋体" w:eastAsia="宋体" w:cs="宋体"/>
                <w:sz w:val="16"/>
                <w:szCs w:val="16"/>
              </w:rPr>
              <w:t>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799" w:type="dxa"/>
            <w:vMerge w:val="restart"/>
            <w:tcBorders>
              <w:bottom w:val="nil"/>
            </w:tcBorders>
            <w:vAlign w:val="top"/>
          </w:tcPr>
          <w:p>
            <w:pPr>
              <w:rPr>
                <w:rFonts w:hint="eastAsia" w:ascii="宋体" w:hAnsi="宋体" w:eastAsia="宋体" w:cs="宋体"/>
                <w:sz w:val="16"/>
                <w:szCs w:val="16"/>
              </w:rPr>
            </w:pPr>
            <w:r>
              <w:rPr>
                <w:rFonts w:hint="eastAsia" w:ascii="宋体" w:hAnsi="宋体" w:eastAsia="宋体" w:cs="宋体"/>
                <w:sz w:val="16"/>
                <w:szCs w:val="16"/>
              </w:rPr>
              <w:t>服务对象</w:t>
            </w:r>
          </w:p>
          <w:p>
            <w:pPr>
              <w:rPr>
                <w:rFonts w:hint="eastAsia" w:ascii="宋体" w:hAnsi="宋体" w:eastAsia="宋体" w:cs="宋体"/>
                <w:sz w:val="16"/>
                <w:szCs w:val="16"/>
              </w:rPr>
            </w:pPr>
            <w:r>
              <w:rPr>
                <w:rFonts w:hint="eastAsia" w:ascii="宋体" w:hAnsi="宋体" w:eastAsia="宋体" w:cs="宋体"/>
                <w:sz w:val="16"/>
                <w:szCs w:val="16"/>
              </w:rPr>
              <w:t>满意度指</w:t>
            </w:r>
          </w:p>
          <w:p>
            <w:pPr>
              <w:rPr>
                <w:rFonts w:hint="eastAsia" w:ascii="宋体" w:hAnsi="宋体" w:eastAsia="宋体" w:cs="宋体"/>
                <w:sz w:val="16"/>
                <w:szCs w:val="16"/>
              </w:rPr>
            </w:pPr>
            <w:r>
              <w:rPr>
                <w:rFonts w:hint="eastAsia" w:ascii="宋体" w:hAnsi="宋体" w:eastAsia="宋体" w:cs="宋体"/>
                <w:sz w:val="16"/>
                <w:szCs w:val="16"/>
              </w:rPr>
              <w:t>标</w:t>
            </w:r>
          </w:p>
        </w:tc>
        <w:tc>
          <w:tcPr>
            <w:tcW w:w="2637" w:type="dxa"/>
            <w:gridSpan w:val="2"/>
            <w:vAlign w:val="top"/>
          </w:tcPr>
          <w:p>
            <w:pPr>
              <w:rPr>
                <w:rFonts w:hint="eastAsia" w:ascii="宋体" w:hAnsi="宋体" w:eastAsia="宋体" w:cs="宋体"/>
                <w:sz w:val="16"/>
                <w:szCs w:val="16"/>
              </w:rPr>
            </w:pPr>
            <w:r>
              <w:rPr>
                <w:rFonts w:hint="eastAsia" w:ascii="宋体" w:hAnsi="宋体" w:eastAsia="宋体" w:cs="宋体"/>
                <w:sz w:val="16"/>
                <w:szCs w:val="16"/>
              </w:rPr>
              <w:t>受益对象满意度</w:t>
            </w:r>
          </w:p>
        </w:tc>
        <w:tc>
          <w:tcPr>
            <w:tcW w:w="909"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895"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满意</w:t>
            </w:r>
          </w:p>
        </w:tc>
        <w:tc>
          <w:tcPr>
            <w:tcW w:w="660"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5</w:t>
            </w:r>
          </w:p>
        </w:tc>
        <w:tc>
          <w:tcPr>
            <w:tcW w:w="2192" w:type="dxa"/>
            <w:gridSpan w:val="2"/>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bottom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84" w:type="dxa"/>
            <w:vMerge w:val="continue"/>
            <w:tcBorders>
              <w:top w:val="nil"/>
              <w:bottom w:val="nil"/>
            </w:tcBorders>
            <w:textDirection w:val="tbRlV"/>
            <w:vAlign w:val="top"/>
          </w:tcPr>
          <w:p>
            <w:pPr>
              <w:rPr>
                <w:rFonts w:hint="eastAsia" w:ascii="宋体" w:hAnsi="宋体" w:eastAsia="宋体" w:cs="宋体"/>
                <w:sz w:val="16"/>
                <w:szCs w:val="16"/>
              </w:rPr>
            </w:pPr>
          </w:p>
        </w:tc>
        <w:tc>
          <w:tcPr>
            <w:tcW w:w="370" w:type="dxa"/>
            <w:vMerge w:val="continue"/>
            <w:tcBorders>
              <w:top w:val="nil"/>
              <w:bottom w:val="nil"/>
            </w:tcBorders>
            <w:vAlign w:val="top"/>
          </w:tcPr>
          <w:p>
            <w:pPr>
              <w:rPr>
                <w:rFonts w:hint="eastAsia" w:ascii="宋体" w:hAnsi="宋体" w:eastAsia="宋体" w:cs="宋体"/>
                <w:sz w:val="16"/>
                <w:szCs w:val="16"/>
              </w:rPr>
            </w:pPr>
          </w:p>
        </w:tc>
        <w:tc>
          <w:tcPr>
            <w:tcW w:w="799" w:type="dxa"/>
            <w:vMerge w:val="continue"/>
            <w:tcBorders>
              <w:top w:val="nil"/>
            </w:tcBorders>
            <w:vAlign w:val="top"/>
          </w:tcPr>
          <w:p>
            <w:pPr>
              <w:rPr>
                <w:rFonts w:hint="eastAsia" w:ascii="宋体" w:hAnsi="宋体" w:eastAsia="宋体" w:cs="宋体"/>
                <w:sz w:val="16"/>
                <w:szCs w:val="16"/>
              </w:rPr>
            </w:pP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 w:hRule="atLeast"/>
        </w:trPr>
        <w:tc>
          <w:tcPr>
            <w:tcW w:w="384" w:type="dxa"/>
            <w:vMerge w:val="continue"/>
            <w:tcBorders>
              <w:top w:val="nil"/>
            </w:tcBorders>
            <w:textDirection w:val="tbRlV"/>
            <w:vAlign w:val="top"/>
          </w:tcPr>
          <w:p>
            <w:pPr>
              <w:rPr>
                <w:rFonts w:hint="eastAsia" w:ascii="宋体" w:hAnsi="宋体" w:eastAsia="宋体" w:cs="宋体"/>
                <w:sz w:val="16"/>
                <w:szCs w:val="16"/>
              </w:rPr>
            </w:pPr>
          </w:p>
        </w:tc>
        <w:tc>
          <w:tcPr>
            <w:tcW w:w="370" w:type="dxa"/>
            <w:vMerge w:val="continue"/>
            <w:tcBorders>
              <w:top w:val="nil"/>
            </w:tcBorders>
            <w:vAlign w:val="top"/>
          </w:tcPr>
          <w:p>
            <w:pPr>
              <w:rPr>
                <w:rFonts w:hint="eastAsia" w:ascii="宋体" w:hAnsi="宋体" w:eastAsia="宋体" w:cs="宋体"/>
                <w:sz w:val="16"/>
                <w:szCs w:val="16"/>
              </w:rPr>
            </w:pPr>
          </w:p>
        </w:tc>
        <w:tc>
          <w:tcPr>
            <w:tcW w:w="799" w:type="dxa"/>
            <w:vAlign w:val="top"/>
          </w:tcPr>
          <w:p>
            <w:pPr>
              <w:rPr>
                <w:rFonts w:hint="eastAsia" w:ascii="宋体" w:hAnsi="宋体" w:eastAsia="宋体" w:cs="宋体"/>
                <w:sz w:val="16"/>
                <w:szCs w:val="16"/>
              </w:rPr>
            </w:pPr>
            <w:r>
              <w:rPr>
                <w:rFonts w:hint="eastAsia" w:ascii="宋体" w:hAnsi="宋体" w:eastAsia="宋体" w:cs="宋体"/>
                <w:sz w:val="16"/>
                <w:szCs w:val="16"/>
              </w:rPr>
              <w:t>*</w:t>
            </w:r>
          </w:p>
        </w:tc>
        <w:tc>
          <w:tcPr>
            <w:tcW w:w="2637" w:type="dxa"/>
            <w:gridSpan w:val="2"/>
            <w:vAlign w:val="top"/>
          </w:tcPr>
          <w:p>
            <w:pPr>
              <w:rPr>
                <w:rFonts w:hint="eastAsia" w:ascii="宋体" w:hAnsi="宋体" w:eastAsia="宋体" w:cs="宋体"/>
                <w:sz w:val="16"/>
                <w:szCs w:val="16"/>
              </w:rPr>
            </w:pPr>
          </w:p>
        </w:tc>
        <w:tc>
          <w:tcPr>
            <w:tcW w:w="909" w:type="dxa"/>
            <w:vAlign w:val="top"/>
          </w:tcPr>
          <w:p>
            <w:pPr>
              <w:jc w:val="center"/>
              <w:rPr>
                <w:rFonts w:hint="eastAsia" w:ascii="宋体" w:hAnsi="宋体" w:eastAsia="宋体" w:cs="宋体"/>
                <w:sz w:val="16"/>
                <w:szCs w:val="16"/>
              </w:rPr>
            </w:pPr>
          </w:p>
        </w:tc>
        <w:tc>
          <w:tcPr>
            <w:tcW w:w="895" w:type="dxa"/>
            <w:vAlign w:val="top"/>
          </w:tcPr>
          <w:p>
            <w:pPr>
              <w:jc w:val="center"/>
              <w:rPr>
                <w:rFonts w:hint="eastAsia" w:ascii="宋体" w:hAnsi="宋体" w:eastAsia="宋体" w:cs="宋体"/>
                <w:sz w:val="16"/>
                <w:szCs w:val="16"/>
              </w:rPr>
            </w:pPr>
          </w:p>
        </w:tc>
        <w:tc>
          <w:tcPr>
            <w:tcW w:w="660" w:type="dxa"/>
            <w:vAlign w:val="top"/>
          </w:tcPr>
          <w:p>
            <w:pPr>
              <w:jc w:val="center"/>
              <w:rPr>
                <w:rFonts w:hint="eastAsia" w:ascii="宋体" w:hAnsi="宋体" w:eastAsia="宋体" w:cs="宋体"/>
                <w:sz w:val="16"/>
                <w:szCs w:val="16"/>
              </w:rPr>
            </w:pPr>
          </w:p>
        </w:tc>
        <w:tc>
          <w:tcPr>
            <w:tcW w:w="363" w:type="dxa"/>
            <w:vAlign w:val="top"/>
          </w:tcPr>
          <w:p>
            <w:pPr>
              <w:jc w:val="center"/>
              <w:rPr>
                <w:rFonts w:hint="eastAsia" w:ascii="宋体" w:hAnsi="宋体" w:eastAsia="宋体" w:cs="宋体"/>
                <w:sz w:val="16"/>
                <w:szCs w:val="16"/>
              </w:rPr>
            </w:pP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5994" w:type="dxa"/>
            <w:gridSpan w:val="7"/>
            <w:vAlign w:val="top"/>
          </w:tcPr>
          <w:p>
            <w:pPr>
              <w:rPr>
                <w:rFonts w:hint="eastAsia" w:ascii="宋体" w:hAnsi="宋体" w:eastAsia="宋体" w:cs="宋体"/>
                <w:sz w:val="16"/>
                <w:szCs w:val="16"/>
              </w:rPr>
            </w:pPr>
            <w:r>
              <w:rPr>
                <w:rFonts w:hint="eastAsia" w:ascii="宋体" w:hAnsi="宋体" w:eastAsia="宋体" w:cs="宋体"/>
                <w:sz w:val="16"/>
                <w:szCs w:val="16"/>
              </w:rPr>
              <w:t>总分</w:t>
            </w:r>
          </w:p>
        </w:tc>
        <w:tc>
          <w:tcPr>
            <w:tcW w:w="660" w:type="dxa"/>
            <w:vAlign w:val="top"/>
          </w:tcPr>
          <w:p>
            <w:pPr>
              <w:jc w:val="center"/>
              <w:rPr>
                <w:rFonts w:hint="eastAsia" w:ascii="宋体" w:hAnsi="宋体" w:eastAsia="宋体" w:cs="宋体"/>
                <w:sz w:val="16"/>
                <w:szCs w:val="16"/>
              </w:rPr>
            </w:pPr>
            <w:r>
              <w:rPr>
                <w:rFonts w:hint="eastAsia" w:ascii="宋体" w:hAnsi="宋体" w:eastAsia="宋体" w:cs="宋体"/>
                <w:sz w:val="16"/>
                <w:szCs w:val="16"/>
              </w:rPr>
              <w:t>100</w:t>
            </w:r>
          </w:p>
        </w:tc>
        <w:tc>
          <w:tcPr>
            <w:tcW w:w="363" w:type="dxa"/>
            <w:vAlign w:val="top"/>
          </w:tcPr>
          <w:p>
            <w:p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87.5</w:t>
            </w:r>
          </w:p>
        </w:tc>
        <w:tc>
          <w:tcPr>
            <w:tcW w:w="2192" w:type="dxa"/>
            <w:gridSpan w:val="2"/>
            <w:vAlign w:val="top"/>
          </w:tcPr>
          <w:p>
            <w:pPr>
              <w:jc w:val="center"/>
              <w:rPr>
                <w:rFonts w:hint="eastAsia" w:ascii="宋体" w:hAnsi="宋体" w:eastAsia="宋体" w:cs="宋体"/>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 w:hRule="atLeast"/>
        </w:trPr>
        <w:tc>
          <w:tcPr>
            <w:tcW w:w="1553" w:type="dxa"/>
            <w:gridSpan w:val="3"/>
            <w:vAlign w:val="top"/>
          </w:tcPr>
          <w:p>
            <w:pPr>
              <w:rPr>
                <w:rFonts w:hint="eastAsia" w:ascii="宋体" w:hAnsi="宋体" w:eastAsia="宋体" w:cs="宋体"/>
                <w:sz w:val="16"/>
                <w:szCs w:val="16"/>
              </w:rPr>
            </w:pPr>
            <w:r>
              <w:rPr>
                <w:rFonts w:hint="eastAsia" w:ascii="宋体" w:hAnsi="宋体" w:eastAsia="宋体" w:cs="宋体"/>
                <w:sz w:val="16"/>
                <w:szCs w:val="16"/>
              </w:rPr>
              <w:t>说明</w:t>
            </w:r>
          </w:p>
        </w:tc>
        <w:tc>
          <w:tcPr>
            <w:tcW w:w="7656" w:type="dxa"/>
            <w:gridSpan w:val="8"/>
            <w:vAlign w:val="top"/>
          </w:tcPr>
          <w:p>
            <w:pPr>
              <w:rPr>
                <w:rFonts w:hint="eastAsia" w:ascii="宋体" w:hAnsi="宋体" w:eastAsia="宋体" w:cs="宋体"/>
                <w:sz w:val="16"/>
                <w:szCs w:val="16"/>
              </w:rPr>
            </w:pPr>
            <w:r>
              <w:rPr>
                <w:rFonts w:hint="eastAsia" w:ascii="宋体" w:hAnsi="宋体" w:eastAsia="宋体" w:cs="宋体"/>
                <w:sz w:val="16"/>
                <w:szCs w:val="16"/>
                <w:lang w:val="en-US" w:eastAsia="zh-CN"/>
              </w:rPr>
              <w:t>无</w:t>
            </w:r>
          </w:p>
        </w:tc>
      </w:tr>
    </w:tbl>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注：1.该表由中央主管部门填写，</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2.其他资金包括与中央财政资金、地方财政资金共同投入的自有资金、社会资金，以及以前年度的结转结余资金等。</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3.资金管理情况需汇总反映各级政府的资金管理情况，对违反预算管理规定行为的，原则上每发现1例扣0.5分，扣完为止。</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4. 专项转移支付无需填写“支出责任展行情况”项，相关分值(5分)分排到“分配科学性”、“下达及时性”、“拨付合规性”、 “使用规范性”和“政策目标实现情况”等5项上。</w:t>
      </w:r>
    </w:p>
    <w:p>
      <w:pPr>
        <w:rPr>
          <w:rFonts w:hint="eastAsia" w:asciiTheme="minorEastAsia" w:hAnsiTheme="minorEastAsia" w:eastAsiaTheme="minorEastAsia" w:cstheme="minorEastAsia"/>
          <w:sz w:val="16"/>
          <w:szCs w:val="16"/>
        </w:rPr>
      </w:pPr>
      <w:r>
        <w:rPr>
          <w:rFonts w:hint="eastAsia" w:asciiTheme="minorEastAsia" w:hAnsiTheme="minorEastAsia" w:eastAsiaTheme="minorEastAsia" w:cstheme="minorEastAsia"/>
          <w:sz w:val="16"/>
          <w:szCs w:val="16"/>
        </w:rPr>
        <w:t>5. 中央主管部门商财政部主管司局确定各项绩效指标分值权里，并根据全年实际完成情况填写得分，各项指标得分加总形成该转移支 付绩效自评总分，原则上， 一级指标分值设置为；资金投入情况10分、资金管理情况40分、产出指标30分、效益指标15分、满意度指标5 分。如有特殊情况，除资金投入情况、资金管理情况外，其他指标分值权重可适当调整(总分应为100分)。巡视、审计和财会监督中发 现问题的应酌情扣分。</w:t>
      </w:r>
    </w:p>
    <w:sectPr>
      <w:footerReference r:id="rId6" w:type="default"/>
      <w:pgSz w:w="12060" w:h="16950"/>
      <w:pgMar w:top="1276" w:right="1464" w:bottom="400" w:left="1360"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267AB4-B3B3-4568-A0DD-6BB5A9521AD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roman"/>
    <w:pitch w:val="default"/>
    <w:sig w:usb0="A00002BF" w:usb1="184F6CFA" w:usb2="00000012" w:usb3="00000000" w:csb0="00040001" w:csb1="00000000"/>
    <w:embedRegular r:id="rId2" w:fontKey="{F6D86D72-B53D-4535-92B0-2221462EEE7C}"/>
  </w:font>
  <w:font w:name="仿宋_GB2312">
    <w:panose1 w:val="02010609030101010101"/>
    <w:charset w:val="86"/>
    <w:family w:val="auto"/>
    <w:pitch w:val="default"/>
    <w:sig w:usb0="00000001" w:usb1="080E0000" w:usb2="00000000" w:usb3="00000000" w:csb0="00040000" w:csb1="00000000"/>
    <w:embedRegular r:id="rId3" w:fontKey="{DC1DBB08-2C96-4BC8-A5DB-900A579B3A37}"/>
  </w:font>
  <w:font w:name="楷体_GB2312">
    <w:panose1 w:val="02010609030101010101"/>
    <w:charset w:val="86"/>
    <w:family w:val="auto"/>
    <w:pitch w:val="default"/>
    <w:sig w:usb0="00000001" w:usb1="080E0000" w:usb2="00000000" w:usb3="00000000" w:csb0="00040000" w:csb1="00000000"/>
    <w:embedRegular r:id="rId4" w:fontKey="{1FD1705B-CBD7-4D8D-BEEB-E22602866B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0" w:lineRule="auto"/>
      <w:rPr>
        <w:rFonts w:ascii="宋体" w:hAnsi="宋体" w:eastAsia="宋体" w:cs="宋体"/>
        <w:sz w:val="15"/>
        <w:szCs w:val="15"/>
      </w:rPr>
    </w:pPr>
    <w:r>
      <w:rPr>
        <w:sz w:val="15"/>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RiOGJkYmZkZjliNTlmNzIxMjZlYjYwY2YxZjJiYWUifQ=="/>
  </w:docVars>
  <w:rsids>
    <w:rsidRoot w:val="00000000"/>
    <w:rsid w:val="007C6925"/>
    <w:rsid w:val="008579C2"/>
    <w:rsid w:val="00F52A8D"/>
    <w:rsid w:val="00F64830"/>
    <w:rsid w:val="05450DB7"/>
    <w:rsid w:val="08064073"/>
    <w:rsid w:val="08297BEC"/>
    <w:rsid w:val="0EB775D4"/>
    <w:rsid w:val="10DF3C80"/>
    <w:rsid w:val="134C6044"/>
    <w:rsid w:val="139D3103"/>
    <w:rsid w:val="14CF5677"/>
    <w:rsid w:val="17F6116D"/>
    <w:rsid w:val="1B44604E"/>
    <w:rsid w:val="1BEF4851"/>
    <w:rsid w:val="214271D1"/>
    <w:rsid w:val="245A2A83"/>
    <w:rsid w:val="252D3F34"/>
    <w:rsid w:val="25711C1B"/>
    <w:rsid w:val="274665B7"/>
    <w:rsid w:val="27B97E00"/>
    <w:rsid w:val="27D36DD5"/>
    <w:rsid w:val="29212150"/>
    <w:rsid w:val="2BB2311B"/>
    <w:rsid w:val="2BC7500B"/>
    <w:rsid w:val="2C4B7881"/>
    <w:rsid w:val="2CD4576F"/>
    <w:rsid w:val="2CFA3055"/>
    <w:rsid w:val="2D8D7A26"/>
    <w:rsid w:val="2D96417E"/>
    <w:rsid w:val="2F654E44"/>
    <w:rsid w:val="30332B06"/>
    <w:rsid w:val="30FA3624"/>
    <w:rsid w:val="349D0E96"/>
    <w:rsid w:val="36213401"/>
    <w:rsid w:val="3C636521"/>
    <w:rsid w:val="3C850B8E"/>
    <w:rsid w:val="431B7F04"/>
    <w:rsid w:val="43F2118C"/>
    <w:rsid w:val="465F1300"/>
    <w:rsid w:val="47A85730"/>
    <w:rsid w:val="4DB65B27"/>
    <w:rsid w:val="50BB4726"/>
    <w:rsid w:val="518D349F"/>
    <w:rsid w:val="522C63AF"/>
    <w:rsid w:val="523A78CD"/>
    <w:rsid w:val="541D3002"/>
    <w:rsid w:val="54CB6F02"/>
    <w:rsid w:val="54F975CB"/>
    <w:rsid w:val="574812F5"/>
    <w:rsid w:val="5E1831B8"/>
    <w:rsid w:val="5E60057E"/>
    <w:rsid w:val="5FDE3F8D"/>
    <w:rsid w:val="6511270F"/>
    <w:rsid w:val="663B25E3"/>
    <w:rsid w:val="67334E8F"/>
    <w:rsid w:val="69A27DD9"/>
    <w:rsid w:val="6B306725"/>
    <w:rsid w:val="6BCE4EB6"/>
    <w:rsid w:val="6D5668CC"/>
    <w:rsid w:val="6D6A50B2"/>
    <w:rsid w:val="6ED722D3"/>
    <w:rsid w:val="6F77163A"/>
    <w:rsid w:val="72D51542"/>
    <w:rsid w:val="72FF0A25"/>
    <w:rsid w:val="758C5AF1"/>
    <w:rsid w:val="7A697680"/>
    <w:rsid w:val="7AEF45F7"/>
    <w:rsid w:val="7B7535A0"/>
    <w:rsid w:val="7E723DC7"/>
    <w:rsid w:val="7F5A32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29"/>
      <w:szCs w:val="29"/>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15"/>
      <w:szCs w:val="1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3916</Words>
  <Characters>4226</Characters>
  <TotalTime>4</TotalTime>
  <ScaleCrop>false</ScaleCrop>
  <LinksUpToDate>false</LinksUpToDate>
  <CharactersWithSpaces>4266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2024-05-27T11:45:00Z</dcterms:created>
  <dc:creator>Administrator</dc:creator>
  <cp:lastModifiedBy>Yilly</cp:lastModifiedBy>
  <cp:lastPrinted>2024-05-28T09:54:00Z</cp:lastPrinted>
  <dcterms:modified xsi:type="dcterms:W3CDTF">2024-06-13T08:46:58Z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2024-05-27T11:45:31Z</vt:filetime>
  </property>
  <property fmtid="{D5CDD505-2E9C-101B-9397-08002B2CF9AE}" pid="4" name="UsrData">
    <vt:lpwstr>665401d53c20970020784f42wl</vt:lpwstr>
  </property>
  <property fmtid="{D5CDD505-2E9C-101B-9397-08002B2CF9AE}" pid="5" name="KSOProductBuildVer">
    <vt:lpwstr>2052-12.1.0.16929</vt:lpwstr>
  </property>
  <property fmtid="{D5CDD505-2E9C-101B-9397-08002B2CF9AE}" pid="6" name="ICV">
    <vt:lpwstr>A85A712766E840F98AD0B54AD6AC9B96_13</vt:lpwstr>
  </property>
</Properties>
</file>