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snapToGrid/>
        <w:spacing w:line="62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napToGrid/>
          <w:kern w:val="2"/>
          <w:sz w:val="44"/>
          <w:szCs w:val="22"/>
          <w:lang w:val="en-US" w:eastAsia="zh-Hans"/>
        </w:rPr>
        <w:t>2023年临河区城市燃气管道等老化更新改造项目</w:t>
      </w:r>
      <w:r>
        <w:rPr>
          <w:rFonts w:hint="eastAsia" w:ascii="方正小标宋简体" w:hAnsi="方正小标宋简体" w:eastAsia="方正小标宋简体" w:cs="方正小标宋简体"/>
          <w:sz w:val="44"/>
          <w:szCs w:val="44"/>
        </w:rPr>
        <w:t>转移支付2023年度绩效自评报告</w:t>
      </w:r>
    </w:p>
    <w:p>
      <w:pPr>
        <w:widowControl w:val="0"/>
        <w:kinsoku/>
        <w:autoSpaceDE/>
        <w:autoSpaceDN/>
        <w:adjustRightInd/>
        <w:snapToGrid/>
        <w:spacing w:line="62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p>
    <w:p>
      <w:pPr>
        <w:spacing w:line="263" w:lineRule="auto"/>
        <w:rPr>
          <w:rFonts w:ascii="Arial"/>
          <w:sz w:val="21"/>
        </w:rPr>
      </w:pPr>
    </w:p>
    <w:p>
      <w:pPr>
        <w:keepNext w:val="0"/>
        <w:keepLines w:val="0"/>
        <w:pageBreakBefore w:val="0"/>
        <w:wordWrap/>
        <w:overflowPunct/>
        <w:topLinePunct w:val="0"/>
        <w:bidi w:val="0"/>
        <w:spacing w:line="540" w:lineRule="exact"/>
        <w:ind w:left="0" w:firstLine="640" w:firstLineChars="200"/>
        <w:rPr>
          <w:rFonts w:ascii="Arial"/>
          <w:sz w:val="21"/>
        </w:rPr>
      </w:pPr>
      <w:r>
        <w:rPr>
          <w:rFonts w:hint="eastAsia" w:ascii="仿宋_GB2312" w:hAnsi="仿宋_GB2312" w:eastAsia="仿宋_GB2312" w:cs="仿宋_GB2312"/>
          <w:sz w:val="32"/>
          <w:szCs w:val="32"/>
        </w:rPr>
        <w:t>为贯彻落实内蒙古自治区《关于全面实施预算绩效管理的实施意见》（内财监〔2019〕1343号）精神，完善项目预算管理，强化预算支出责任，提高财政资金使用效益，根据《内蒙古自治区项目支出绩效评价管理办法》的通知（内政办法〔2021〕5号）文件规定，对</w:t>
      </w:r>
      <w:r>
        <w:rPr>
          <w:rFonts w:hint="eastAsia" w:ascii="仿宋_GB2312" w:hAnsi="仿宋_GB2312" w:eastAsia="仿宋_GB2312" w:cs="仿宋_GB2312"/>
          <w:sz w:val="32"/>
          <w:szCs w:val="32"/>
          <w:lang w:val="en-US" w:eastAsia="zh-Hans"/>
        </w:rPr>
        <w:t>2023年临河区城市燃气管道等老化更新改造项目</w:t>
      </w:r>
      <w:r>
        <w:rPr>
          <w:rFonts w:hint="eastAsia" w:ascii="仿宋_GB2312" w:hAnsi="仿宋_GB2312" w:eastAsia="仿宋_GB2312" w:cs="仿宋_GB2312"/>
          <w:sz w:val="32"/>
          <w:szCs w:val="32"/>
        </w:rPr>
        <w:t>开展绩效评价。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3" w:firstLineChars="200"/>
        <w:jc w:val="left"/>
        <w:textAlignment w:val="auto"/>
        <w:rPr>
          <w:rFonts w:hint="eastAsia" w:ascii="仿宋" w:hAnsi="仿宋" w:eastAsia="仿宋" w:cs="Times New Roman"/>
          <w:b/>
          <w:snapToGrid/>
          <w:kern w:val="2"/>
          <w:sz w:val="32"/>
          <w:szCs w:val="32"/>
          <w:lang w:eastAsia="zh-CN"/>
        </w:rPr>
      </w:pPr>
      <w:r>
        <w:rPr>
          <w:rFonts w:hint="eastAsia" w:ascii="仿宋" w:hAnsi="仿宋" w:eastAsia="仿宋" w:cs="Times New Roman"/>
          <w:b/>
          <w:snapToGrid/>
          <w:kern w:val="2"/>
          <w:sz w:val="32"/>
          <w:szCs w:val="32"/>
          <w:lang w:eastAsia="zh-CN"/>
        </w:rPr>
        <w:t>一、基本情况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en-US"/>
        </w:rPr>
      </w:pPr>
      <w:r>
        <w:rPr>
          <w:rFonts w:hint="eastAsia" w:ascii="楷体_GB2312" w:hAnsi="楷体_GB2312" w:eastAsia="楷体_GB2312" w:cs="楷体_GB2312"/>
          <w:b/>
          <w:bCs/>
          <w:sz w:val="32"/>
          <w:szCs w:val="32"/>
          <w:lang w:val="en-US" w:eastAsia="en-US"/>
        </w:rPr>
        <w:t>(一)转移支付概况。</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2023年6月16日收到巴彦淖尔市发改委、住建局联合下达的《关于下达城市燃气管道等老化更新改造和保障性安居工程专项（城市燃气管道等老化更新改造方向）2023年中央也预算内投资计划的通知》（巴发改投发</w:t>
      </w:r>
      <w:r>
        <w:rPr>
          <w:rFonts w:hint="eastAsia" w:ascii="仿宋" w:hAnsi="仿宋" w:eastAsia="仿宋" w:cs="仿宋"/>
          <w:sz w:val="32"/>
          <w:szCs w:val="32"/>
          <w:lang w:val="en-US" w:eastAsia="en-US"/>
        </w:rPr>
        <w:t>〔20</w:t>
      </w:r>
      <w:r>
        <w:rPr>
          <w:rFonts w:hint="eastAsia" w:ascii="仿宋" w:hAnsi="仿宋" w:eastAsia="仿宋" w:cs="仿宋"/>
          <w:sz w:val="32"/>
          <w:szCs w:val="32"/>
          <w:lang w:val="en-US" w:eastAsia="zh-CN"/>
        </w:rPr>
        <w:t>23</w:t>
      </w:r>
      <w:r>
        <w:rPr>
          <w:rFonts w:hint="eastAsia" w:ascii="仿宋" w:hAnsi="仿宋" w:eastAsia="仿宋" w:cs="仿宋"/>
          <w:sz w:val="32"/>
          <w:szCs w:val="32"/>
          <w:lang w:val="en-US" w:eastAsia="en-US"/>
        </w:rPr>
        <w:t>〕</w:t>
      </w:r>
      <w:r>
        <w:rPr>
          <w:rFonts w:hint="eastAsia" w:ascii="仿宋" w:hAnsi="仿宋" w:eastAsia="仿宋" w:cs="仿宋"/>
          <w:sz w:val="32"/>
          <w:szCs w:val="32"/>
          <w:lang w:val="en-US" w:eastAsia="zh-CN"/>
        </w:rPr>
        <w:t>432</w:t>
      </w:r>
      <w:r>
        <w:rPr>
          <w:rFonts w:hint="eastAsia" w:ascii="仿宋" w:hAnsi="仿宋" w:eastAsia="仿宋" w:cs="仿宋"/>
          <w:sz w:val="32"/>
          <w:szCs w:val="32"/>
          <w:lang w:val="en-US" w:eastAsia="en-US"/>
        </w:rPr>
        <w:t>号</w:t>
      </w:r>
      <w:r>
        <w:rPr>
          <w:rFonts w:hint="eastAsia" w:ascii="仿宋" w:hAnsi="仿宋" w:eastAsia="仿宋" w:cs="仿宋"/>
          <w:sz w:val="32"/>
          <w:szCs w:val="32"/>
          <w:lang w:val="en-US" w:eastAsia="zh-CN"/>
        </w:rPr>
        <w:t>）中央预算内投资7950万元。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en-US"/>
        </w:rPr>
      </w:pP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val="en-US" w:eastAsia="en-US"/>
        </w:rPr>
        <w:t>整体绩效目标情况。</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七个项目共计划更换燃气市政管道10146米，更换城市供水管道10146米，城市排水管道20495米以及新建检查井、沉泥井、雨水口、路面恢复等。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（三）区域绩效目标情况。</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2023年巴彦淖尔市临河区五原街（朔方路-安北路）城市燃气管道等老化更新改造项目计划更换De250燃气市政管道1177米，燃气检查井34座；更换DN800城市供水管道1177米，供水检查井26座；更换DN800城市排水管道1177米，排水检查井30座，沉泥井5座；更换DN1500城市排水管道1177米，更换DN300城市排水管道300米，排水检查井30座，排水口30座。</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2023年巴彦淖尔市临河区五原街（安北路—建设路）城市燃气管道等老化更新改造项目计划更换De250燃气市政管道1603米，燃气检查井45座；更换DN800城市供水管道1603米，供水检查井36座；更换DN800城市排水管道1603米，排水检查井46座，沉泥井6座；更换DN1500城市排水管道1603米，更换DN300城市排水管道460米，排水检查井45座，排水口45座。</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2023年巴彦淖尔市临河区乌拉特大街（丰州路—建设路）城市燃气管道等老化更新改造项目计划更换DE250燃气市政管道2150米，燃气检查井57座；更换双壁波纹管DN1000城市排水管道2150米，检查井61座，沉泥井11座；更换钢筋混凝土管DN1000城市排水管道2150米，检查井49座，收集口103个；更换DN600城市供水管道2150米，供水检查井61座。</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2023年巴彦淖尔市临河区新华街（东兴路—朔方路）城市燃气管道等老化更新改造项目计划更换DE250燃气市政管道1490米，燃气检查井40座；更换DN800城市排水管道1490米，检查井43座，沉泥井8座；更换DN1500城市排水管道1490米，检查井34座，收集口75个；更换DN600城市供水管道1490米，供水检查井43座。</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2023年巴彦淖尔市临河区新华街（建设路—东兴路）城市燃气管道等老化更新改造项目计划更换DE250天然气管道1506米，燃气检查井40座；更换DN800排水管道1506米，检查井43座，沉泥井8座；更换DN1500排水管道1506米，检查井34座，排水口25个；更换DN600供水管道1506米，供水检查井43座。</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2023年巴彦淖尔市临河区朔方路（五原街—河套大街）城市燃气管道等老化更新改造项目计划更换De250燃气市政管道1147米，燃气检查井35座；更换DN800城市供水管道1147米，供水检查井31座；更换DN1500城市排水管道1147米，更换DN300城市排水管道320米，排水检查井32座，排水口32座。</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lang w:val="en-US" w:eastAsia="zh-CN"/>
        </w:rPr>
        <w:t>7、2023年巴彦淖尔市临河区朔方路（河套大街—新华街）城市燃气管道等老化更新改造项目计划更换De250燃气市政管道1073米，燃气检查井31座；更换DN800城市供水管道1073米，供水检查井25座；更换DN800城市排水管道1073米，排水检查井27座，沉</w:t>
      </w:r>
      <w:r>
        <w:rPr>
          <w:rFonts w:hint="eastAsia" w:ascii="仿宋" w:hAnsi="仿宋" w:eastAsia="仿宋" w:cs="仿宋"/>
          <w:sz w:val="32"/>
          <w:szCs w:val="32"/>
          <w:highlight w:val="none"/>
          <w:lang w:val="en-US" w:eastAsia="zh-CN"/>
        </w:rPr>
        <w:t>泥井5座；更换DN1500城市排水管道1073米，更换DN300城市排水管道270米，排水检查井27座，排水口27座。</w:t>
      </w:r>
    </w:p>
    <w:p>
      <w:pPr>
        <w:spacing w:before="237" w:line="222" w:lineRule="auto"/>
        <w:ind w:left="639"/>
        <w:rPr>
          <w:rFonts w:ascii="黑体" w:hAnsi="黑体" w:eastAsia="黑体" w:cs="黑体"/>
          <w:sz w:val="29"/>
          <w:szCs w:val="29"/>
          <w:highlight w:val="none"/>
        </w:rPr>
      </w:pPr>
      <w:r>
        <w:rPr>
          <w:rFonts w:ascii="黑体" w:hAnsi="黑体" w:eastAsia="黑体" w:cs="黑体"/>
          <w:b/>
          <w:bCs/>
          <w:spacing w:val="-5"/>
          <w:sz w:val="29"/>
          <w:szCs w:val="29"/>
          <w:highlight w:val="none"/>
        </w:rPr>
        <w:t>二、综合评价结论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总体上看，该项目计划科学、决议依据充足、项目管理规范，本项目绩效评价得分为86.2分，具体情况如下表所示：</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highlight w:val="none"/>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项目整体绩效分值</w:t>
      </w:r>
    </w:p>
    <w:tbl>
      <w:tblPr>
        <w:tblStyle w:val="5"/>
        <w:tblpPr w:leftFromText="180" w:rightFromText="180" w:vertAnchor="text" w:horzAnchor="page" w:tblpX="1897" w:tblpY="56"/>
        <w:tblOverlap w:val="never"/>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140"/>
        <w:gridCol w:w="1125"/>
        <w:gridCol w:w="1260"/>
        <w:gridCol w:w="1245"/>
        <w:gridCol w:w="1034"/>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指标类别</w:t>
            </w:r>
          </w:p>
        </w:tc>
        <w:tc>
          <w:tcPr>
            <w:tcW w:w="114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highlight w:val="none"/>
                <w:lang w:val="en-US" w:eastAsia="zh-CN"/>
              </w:rPr>
            </w:pPr>
            <w:r>
              <w:rPr>
                <w:rFonts w:hint="eastAsia" w:ascii="仿宋_GB2312" w:hAnsi="仿宋_GB2312" w:eastAsia="仿宋_GB2312" w:cs="仿宋_GB2312"/>
                <w:sz w:val="22"/>
                <w:szCs w:val="22"/>
                <w:highlight w:val="none"/>
                <w:lang w:val="en-US" w:eastAsia="zh-CN"/>
              </w:rPr>
              <w:t>资金投入</w:t>
            </w:r>
          </w:p>
        </w:tc>
        <w:tc>
          <w:tcPr>
            <w:tcW w:w="112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highlight w:val="none"/>
                <w:lang w:val="en-US" w:eastAsia="zh-CN"/>
              </w:rPr>
            </w:pPr>
            <w:r>
              <w:rPr>
                <w:rFonts w:hint="eastAsia" w:ascii="仿宋_GB2312" w:hAnsi="仿宋_GB2312" w:eastAsia="仿宋_GB2312" w:cs="仿宋_GB2312"/>
                <w:sz w:val="22"/>
                <w:szCs w:val="22"/>
                <w:highlight w:val="none"/>
                <w:lang w:val="en-US" w:eastAsia="zh-CN"/>
              </w:rPr>
              <w:t>资金管理</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产出</w:t>
            </w:r>
          </w:p>
        </w:tc>
        <w:tc>
          <w:tcPr>
            <w:tcW w:w="124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highlight w:val="none"/>
                <w:lang w:val="en-US" w:eastAsia="en-US"/>
              </w:rPr>
            </w:pPr>
            <w:r>
              <w:rPr>
                <w:rFonts w:hint="eastAsia" w:ascii="仿宋_GB2312" w:hAnsi="仿宋_GB2312" w:eastAsia="仿宋_GB2312" w:cs="仿宋_GB2312"/>
                <w:sz w:val="22"/>
                <w:szCs w:val="22"/>
                <w:highlight w:val="none"/>
              </w:rPr>
              <w:t>效益</w:t>
            </w:r>
          </w:p>
        </w:tc>
        <w:tc>
          <w:tcPr>
            <w:tcW w:w="1034"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highlight w:val="none"/>
                <w:lang w:val="en-US" w:eastAsia="zh-CN"/>
              </w:rPr>
            </w:pPr>
            <w:r>
              <w:rPr>
                <w:rFonts w:hint="eastAsia" w:ascii="仿宋_GB2312" w:hAnsi="仿宋_GB2312" w:eastAsia="仿宋_GB2312" w:cs="仿宋_GB2312"/>
                <w:sz w:val="22"/>
                <w:szCs w:val="22"/>
                <w:highlight w:val="none"/>
                <w:lang w:val="en-US" w:eastAsia="zh-CN"/>
              </w:rPr>
              <w:t>满意度</w:t>
            </w:r>
          </w:p>
        </w:tc>
        <w:tc>
          <w:tcPr>
            <w:tcW w:w="120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2"/>
                <w:szCs w:val="22"/>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权重分</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w:t>
            </w:r>
            <w:r>
              <w:rPr>
                <w:rFonts w:hint="eastAsia" w:ascii="仿宋_GB2312" w:hAnsi="仿宋_GB2312" w:eastAsia="仿宋_GB2312" w:cs="仿宋_GB2312"/>
                <w:sz w:val="28"/>
                <w:szCs w:val="28"/>
                <w:highlight w:val="none"/>
                <w:lang w:val="en-US" w:eastAsia="zh-CN"/>
              </w:rPr>
              <w:t>0</w:t>
            </w:r>
            <w:r>
              <w:rPr>
                <w:rFonts w:hint="eastAsia" w:ascii="仿宋_GB2312" w:hAnsi="仿宋_GB2312" w:eastAsia="仿宋_GB2312" w:cs="仿宋_GB2312"/>
                <w:sz w:val="28"/>
                <w:szCs w:val="28"/>
                <w:highlight w:val="none"/>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40</w:t>
            </w:r>
            <w:r>
              <w:rPr>
                <w:rFonts w:hint="eastAsia" w:ascii="仿宋_GB2312" w:hAnsi="仿宋_GB2312" w:eastAsia="仿宋_GB2312" w:cs="仿宋_GB2312"/>
                <w:sz w:val="28"/>
                <w:szCs w:val="28"/>
                <w:highlight w:val="none"/>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30分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lang w:val="en-US" w:eastAsia="en-US"/>
              </w:rPr>
            </w:pPr>
            <w:r>
              <w:rPr>
                <w:rFonts w:hint="eastAsia" w:ascii="仿宋_GB2312" w:hAnsi="仿宋_GB2312" w:eastAsia="仿宋_GB2312" w:cs="仿宋_GB2312"/>
                <w:sz w:val="28"/>
                <w:szCs w:val="28"/>
                <w:highlight w:val="none"/>
                <w:lang w:val="en-US" w:eastAsia="zh-CN"/>
              </w:rPr>
              <w:t>15</w:t>
            </w:r>
            <w:r>
              <w:rPr>
                <w:rFonts w:hint="eastAsia" w:ascii="仿宋_GB2312" w:hAnsi="仿宋_GB2312" w:eastAsia="仿宋_GB2312" w:cs="仿宋_GB2312"/>
                <w:sz w:val="28"/>
                <w:szCs w:val="28"/>
                <w:highlight w:val="none"/>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=SUM(left) \# "#分"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100分</w:t>
            </w:r>
            <w:r>
              <w:rPr>
                <w:rFonts w:hint="eastAsia" w:ascii="仿宋_GB2312" w:hAnsi="仿宋_GB2312" w:eastAsia="仿宋_GB2312" w:cs="仿宋_GB2312"/>
                <w:sz w:val="28"/>
                <w:szCs w:val="28"/>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得分分值</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10</w:t>
            </w:r>
            <w:r>
              <w:rPr>
                <w:rFonts w:hint="eastAsia" w:ascii="仿宋_GB2312" w:hAnsi="仿宋_GB2312" w:eastAsia="仿宋_GB2312" w:cs="仿宋_GB2312"/>
                <w:sz w:val="28"/>
                <w:szCs w:val="28"/>
                <w:highlight w:val="none"/>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40</w:t>
            </w:r>
            <w:r>
              <w:rPr>
                <w:rFonts w:hint="eastAsia" w:ascii="仿宋_GB2312" w:hAnsi="仿宋_GB2312" w:eastAsia="仿宋_GB2312" w:cs="仿宋_GB2312"/>
                <w:sz w:val="28"/>
                <w:szCs w:val="28"/>
                <w:highlight w:val="none"/>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16.2</w:t>
            </w:r>
            <w:r>
              <w:rPr>
                <w:rFonts w:hint="eastAsia" w:ascii="仿宋_GB2312" w:hAnsi="仿宋_GB2312" w:eastAsia="仿宋_GB2312" w:cs="仿宋_GB2312"/>
                <w:sz w:val="28"/>
                <w:szCs w:val="28"/>
                <w:highlight w:val="none"/>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lang w:val="en-US" w:eastAsia="en-US"/>
              </w:rPr>
            </w:pPr>
            <w:r>
              <w:rPr>
                <w:rFonts w:hint="eastAsia" w:ascii="仿宋_GB2312" w:hAnsi="仿宋_GB2312" w:eastAsia="仿宋_GB2312" w:cs="仿宋_GB2312"/>
                <w:sz w:val="28"/>
                <w:szCs w:val="28"/>
                <w:highlight w:val="none"/>
                <w:lang w:val="en-US" w:eastAsia="zh-CN"/>
              </w:rPr>
              <w:t>15</w:t>
            </w:r>
            <w:r>
              <w:rPr>
                <w:rFonts w:hint="eastAsia" w:ascii="仿宋_GB2312" w:hAnsi="仿宋_GB2312" w:eastAsia="仿宋_GB2312" w:cs="仿宋_GB2312"/>
                <w:sz w:val="28"/>
                <w:szCs w:val="28"/>
                <w:highlight w:val="none"/>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86.2</w:t>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=SUM(LEFT) \# "#.00分"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分</w:t>
            </w:r>
            <w:r>
              <w:rPr>
                <w:rFonts w:hint="eastAsia" w:ascii="仿宋_GB2312" w:hAnsi="仿宋_GB2312" w:eastAsia="仿宋_GB2312" w:cs="仿宋_GB2312"/>
                <w:sz w:val="28"/>
                <w:szCs w:val="28"/>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得分率</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=B3/B2*100 \# "0.00%"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lang w:val="en-US" w:eastAsia="zh-CN"/>
              </w:rPr>
              <w:t>100</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rPr>
              <w:fldChar w:fldCharType="end"/>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=C3/C2*100 \# "0%"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lang w:val="en-US" w:eastAsia="zh-CN"/>
              </w:rPr>
              <w:t>100</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rPr>
              <w:fldChar w:fldCharType="end"/>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54</w:t>
            </w:r>
            <w:r>
              <w:rPr>
                <w:rFonts w:hint="eastAsia" w:ascii="仿宋_GB2312" w:hAnsi="仿宋_GB2312" w:eastAsia="仿宋_GB2312" w:cs="仿宋_GB2312"/>
                <w:sz w:val="28"/>
                <w:szCs w:val="28"/>
                <w:highlight w:val="none"/>
              </w:rPr>
              <w:t>%</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lang w:val="en-US" w:eastAsia="en-US"/>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=E3/E2*100 \# "0.00%"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lang w:val="en-US" w:eastAsia="zh-CN"/>
              </w:rPr>
              <w:t>100</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rPr>
              <w:fldChar w:fldCharType="end"/>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100%</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=F3/F2*100 \# "0.00%"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lang w:val="en-US" w:eastAsia="zh-CN"/>
              </w:rPr>
              <w:t>86.2</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rPr>
              <w:fldChar w:fldCharType="end"/>
            </w:r>
          </w:p>
        </w:tc>
      </w:tr>
    </w:tbl>
    <w:p>
      <w:pPr>
        <w:spacing w:before="217" w:line="221" w:lineRule="auto"/>
        <w:ind w:left="639"/>
        <w:rPr>
          <w:rFonts w:ascii="黑体" w:hAnsi="黑体" w:eastAsia="黑体" w:cs="黑体"/>
          <w:sz w:val="29"/>
          <w:szCs w:val="29"/>
        </w:rPr>
      </w:pPr>
      <w:r>
        <w:rPr>
          <w:rFonts w:ascii="黑体" w:hAnsi="黑体" w:eastAsia="黑体" w:cs="黑体"/>
          <w:b/>
          <w:bCs/>
          <w:spacing w:val="-8"/>
          <w:sz w:val="29"/>
          <w:szCs w:val="29"/>
        </w:rPr>
        <w:t>三、绩效情况分析</w:t>
      </w:r>
    </w:p>
    <w:p>
      <w:pPr>
        <w:pStyle w:val="2"/>
        <w:spacing w:before="253" w:line="224" w:lineRule="auto"/>
        <w:ind w:left="759"/>
        <w:rPr>
          <w:spacing w:val="8"/>
        </w:rPr>
      </w:pPr>
      <w:r>
        <w:rPr>
          <w:rFonts w:ascii="楷体" w:hAnsi="楷体" w:eastAsia="楷体" w:cs="楷体"/>
          <w:b/>
          <w:bCs/>
          <w:spacing w:val="8"/>
        </w:rPr>
        <w:t>(一)资金情况分析</w:t>
      </w:r>
      <w:r>
        <w:rPr>
          <w:rFonts w:ascii="宋体" w:hAnsi="宋体" w:eastAsia="宋体" w:cs="宋体"/>
          <w:b/>
          <w:bCs/>
          <w:spacing w:val="8"/>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资金全年预算数7950</w:t>
      </w:r>
      <w:r>
        <w:rPr>
          <w:rFonts w:hint="eastAsia" w:ascii="仿宋_GB2312" w:hAnsi="仿宋_GB2312" w:eastAsia="仿宋_GB2312" w:cs="仿宋_GB2312"/>
          <w:sz w:val="32"/>
          <w:szCs w:val="32"/>
        </w:rPr>
        <w:t>万元，其中：财政拨款</w:t>
      </w:r>
      <w:r>
        <w:rPr>
          <w:rFonts w:hint="eastAsia" w:ascii="仿宋_GB2312" w:hAnsi="仿宋_GB2312" w:eastAsia="仿宋_GB2312" w:cs="仿宋_GB2312"/>
          <w:sz w:val="32"/>
          <w:szCs w:val="32"/>
          <w:lang w:val="en-US" w:eastAsia="zh-CN"/>
        </w:rPr>
        <w:t>7950</w:t>
      </w:r>
      <w:r>
        <w:rPr>
          <w:rFonts w:hint="eastAsia" w:ascii="仿宋_GB2312" w:hAnsi="仿宋_GB2312" w:eastAsia="仿宋_GB2312" w:cs="仿宋_GB2312"/>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资金全年执行数21.66</w:t>
      </w:r>
      <w:r>
        <w:rPr>
          <w:rFonts w:hint="eastAsia" w:ascii="仿宋_GB2312" w:hAnsi="仿宋_GB2312" w:eastAsia="仿宋_GB2312" w:cs="仿宋_GB2312"/>
          <w:sz w:val="32"/>
          <w:szCs w:val="32"/>
        </w:rPr>
        <w:t>万元，其中：财政拨款</w:t>
      </w:r>
      <w:r>
        <w:rPr>
          <w:rFonts w:hint="eastAsia" w:ascii="仿宋_GB2312" w:hAnsi="仿宋_GB2312" w:eastAsia="仿宋_GB2312" w:cs="仿宋_GB2312"/>
          <w:sz w:val="32"/>
          <w:szCs w:val="32"/>
          <w:lang w:val="en-US" w:eastAsia="zh-CN"/>
        </w:rPr>
        <w:t>21.66</w:t>
      </w:r>
      <w:r>
        <w:rPr>
          <w:rFonts w:hint="eastAsia" w:ascii="仿宋_GB2312" w:hAnsi="仿宋_GB2312" w:eastAsia="仿宋_GB2312" w:cs="仿宋_GB2312"/>
          <w:sz w:val="32"/>
          <w:szCs w:val="32"/>
        </w:rPr>
        <w:t>万元，其他资金0.00万元。</w:t>
      </w:r>
    </w:p>
    <w:p>
      <w:pPr>
        <w:pStyle w:val="2"/>
        <w:numPr>
          <w:ilvl w:val="0"/>
          <w:numId w:val="1"/>
        </w:numPr>
        <w:spacing w:before="253" w:line="392" w:lineRule="auto"/>
        <w:ind w:left="54" w:right="277" w:firstLine="704"/>
        <w:rPr>
          <w:rFonts w:ascii="楷体" w:hAnsi="楷体" w:eastAsia="楷体" w:cs="楷体"/>
          <w:b/>
          <w:bCs/>
          <w:spacing w:val="3"/>
        </w:rPr>
      </w:pPr>
      <w:r>
        <w:rPr>
          <w:rFonts w:ascii="楷体" w:hAnsi="楷体" w:eastAsia="楷体" w:cs="楷体"/>
          <w:b/>
          <w:bCs/>
          <w:spacing w:val="3"/>
        </w:rPr>
        <w:t>资金管理情况分析。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管理指标主要从分配科学性、下达及时性、拨付合规性、使用规范性、执行准确性、预算绩效管理情况、支出责任履行情况和政策目标实现情况等八个方面对资金管理进行评价，该指标权重为40分，评价得分40分，得分率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1、分配科学性：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根据分配目标，制定相应的分配标准，使分配更加科学和公正，在分配过程中，保持透明和公开，确保分配的科学性和有效性 。该项指标权重分为5分，根据评分标准得5分。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2、下达及时性：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根据资金管理相关要求，制定合理的预算计划，及时更新以确保资金有效利用。该项指标权重分为5分，根据评分标准得5分。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3、拨付合规性：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该项目资金使用符合国家财经法规和财务管理制度的有关规定，有完整的审批程序和手续，不存在截留、挤占、挪用、虚列支出等情况,因此该项指标权重分为5分，根据评分标准得5分。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4、使用规范性：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该项目资金使用符合项目预算批复或合同规定的用途，因此该项指标权重分为5分，根据评分标准得5分。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5、执行准确性：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该项目的财务及资金支出能够严格按照国家、自治区的相关管理制度执行，制度执行有效，因此该项指标权重分为5分，根据评分标准5分。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6、预算绩效管理情况：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积极推进预算绩效管理工作，加强预算绩效管理流程，扩大管理范围，加强评价结果运用，提高财政资源配置效率和使用效益，同时注重绩效管理的公开透明，接受社会监督。</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7、支出责任履行情况：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根据预算和审批程序，支出责任已得到有效履行。该项指标权重分为5分，根据评分标准得5分。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8、政策目标实现情况：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项目实施过程中，加强与相关机构的沟通协调，积极指导享受相关政策，加速政策的落地。该项指标权重分为5分，根据评分标准得5分。</w:t>
      </w:r>
    </w:p>
    <w:p>
      <w:pPr>
        <w:pStyle w:val="2"/>
        <w:spacing w:before="242" w:line="666" w:lineRule="exact"/>
        <w:ind w:left="759"/>
        <w:rPr>
          <w:rFonts w:ascii="宋体" w:hAnsi="宋体" w:eastAsia="宋体" w:cs="宋体"/>
          <w:spacing w:val="13"/>
          <w:sz w:val="29"/>
          <w:szCs w:val="29"/>
          <w:highlight w:val="none"/>
        </w:rPr>
      </w:pPr>
      <w:r>
        <w:rPr>
          <w:rFonts w:ascii="楷体" w:hAnsi="楷体" w:eastAsia="楷体" w:cs="楷体"/>
          <w:b/>
          <w:bCs/>
          <w:spacing w:val="4"/>
          <w:position w:val="28"/>
          <w:highlight w:val="none"/>
        </w:rPr>
        <w:t>(三)总体目标完成情况分析。</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七个项目共更换燃气市政管道10146米，更换城市供水管道10146米，城市排水管道20495米。</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目前已完成更换燃气市政管道420米，更换城市供水管道1530米，城市排水管道2660米。</w:t>
      </w:r>
    </w:p>
    <w:p>
      <w:pPr>
        <w:pStyle w:val="2"/>
        <w:spacing w:before="169" w:line="646" w:lineRule="exact"/>
        <w:ind w:left="759"/>
        <w:rPr>
          <w:rFonts w:ascii="宋体" w:hAnsi="宋体" w:eastAsia="宋体" w:cs="宋体"/>
          <w:spacing w:val="2"/>
          <w:sz w:val="29"/>
          <w:szCs w:val="29"/>
          <w:highlight w:val="none"/>
        </w:rPr>
      </w:pPr>
      <w:r>
        <w:rPr>
          <w:rFonts w:ascii="楷体" w:hAnsi="楷体" w:eastAsia="楷体" w:cs="楷体"/>
          <w:b/>
          <w:bCs/>
          <w:spacing w:val="3"/>
          <w:position w:val="26"/>
          <w:highlight w:val="none"/>
        </w:rPr>
        <w:t>(四)绩效指标完成情况分析。</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(一) 产出指标完成情况</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1、数量指标</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1)更换城市供水管道，目标值</w:t>
      </w:r>
      <w:r>
        <w:rPr>
          <w:rFonts w:hint="eastAsia" w:ascii="仿宋" w:hAnsi="仿宋" w:eastAsia="仿宋"/>
          <w:sz w:val="32"/>
          <w:szCs w:val="32"/>
          <w:highlight w:val="none"/>
          <w:lang w:val="en-US" w:eastAsia="zh-CN"/>
        </w:rPr>
        <w:t>大于等于</w:t>
      </w:r>
      <w:r>
        <w:rPr>
          <w:rFonts w:hint="eastAsia" w:ascii="仿宋" w:hAnsi="仿宋" w:eastAsia="仿宋"/>
          <w:sz w:val="32"/>
          <w:szCs w:val="32"/>
          <w:highlight w:val="none"/>
        </w:rPr>
        <w:t>10146</w:t>
      </w:r>
      <w:r>
        <w:rPr>
          <w:rFonts w:ascii="仿宋" w:hAnsi="仿宋" w:eastAsia="仿宋" w:cs="仿宋"/>
          <w:sz w:val="32"/>
          <w:highlight w:val="none"/>
        </w:rPr>
        <w:t>米，</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hint="eastAsia" w:ascii="仿宋" w:hAnsi="仿宋" w:eastAsia="仿宋"/>
          <w:sz w:val="32"/>
          <w:szCs w:val="32"/>
          <w:highlight w:val="none"/>
          <w:lang w:val="en-US" w:eastAsia="zh-CN"/>
        </w:rPr>
        <w:t>1530</w:t>
      </w:r>
      <w:r>
        <w:rPr>
          <w:rFonts w:ascii="仿宋" w:hAnsi="仿宋" w:eastAsia="仿宋" w:cs="仿宋"/>
          <w:sz w:val="32"/>
          <w:highlight w:val="none"/>
        </w:rPr>
        <w:t>米，分值</w:t>
      </w:r>
      <w:r>
        <w:rPr>
          <w:rFonts w:hint="eastAsia" w:ascii="仿宋" w:hAnsi="仿宋" w:eastAsia="仿宋" w:cs="仿宋"/>
          <w:sz w:val="32"/>
          <w:highlight w:val="none"/>
          <w:lang w:val="en-US" w:eastAsia="zh-CN"/>
        </w:rPr>
        <w:t>5</w:t>
      </w:r>
      <w:r>
        <w:rPr>
          <w:rFonts w:ascii="仿宋" w:hAnsi="仿宋" w:eastAsia="仿宋" w:cs="仿宋"/>
          <w:sz w:val="32"/>
          <w:highlight w:val="none"/>
        </w:rPr>
        <w:t>，得分</w:t>
      </w:r>
      <w:r>
        <w:rPr>
          <w:rFonts w:hint="eastAsia" w:ascii="仿宋" w:hAnsi="仿宋" w:eastAsia="仿宋" w:cs="仿宋"/>
          <w:sz w:val="32"/>
          <w:highlight w:val="none"/>
          <w:lang w:val="en-US" w:eastAsia="zh-CN"/>
        </w:rPr>
        <w:t>0.75</w:t>
      </w:r>
      <w:r>
        <w:rPr>
          <w:rFonts w:hint="eastAsia" w:ascii="仿宋" w:hAnsi="仿宋" w:eastAsia="仿宋"/>
          <w:sz w:val="32"/>
          <w:szCs w:val="32"/>
          <w:highlight w:val="none"/>
        </w:rPr>
        <w:t>。</w:t>
      </w:r>
    </w:p>
    <w:p>
      <w:pPr>
        <w:spacing w:line="620" w:lineRule="exact"/>
        <w:ind w:left="420" w:leftChars="200" w:firstLine="0" w:firstLineChars="0"/>
        <w:rPr>
          <w:rFonts w:hint="eastAsia" w:ascii="仿宋" w:hAnsi="仿宋" w:eastAsia="仿宋"/>
          <w:sz w:val="32"/>
          <w:szCs w:val="32"/>
          <w:highlight w:val="none"/>
        </w:rPr>
      </w:pPr>
      <w:r>
        <w:rPr>
          <w:rFonts w:ascii="仿宋" w:hAnsi="仿宋" w:eastAsia="仿宋" w:cs="仿宋"/>
          <w:sz w:val="32"/>
          <w:highlight w:val="none"/>
        </w:rPr>
        <w:t>2)更换城市排水管道，目标值</w:t>
      </w:r>
      <w:r>
        <w:rPr>
          <w:rFonts w:hint="eastAsia" w:ascii="仿宋" w:hAnsi="仿宋" w:eastAsia="仿宋"/>
          <w:sz w:val="32"/>
          <w:szCs w:val="32"/>
          <w:highlight w:val="none"/>
          <w:lang w:val="en-US" w:eastAsia="zh-CN"/>
        </w:rPr>
        <w:t>大于等于</w:t>
      </w:r>
      <w:r>
        <w:rPr>
          <w:rFonts w:hint="eastAsia" w:ascii="仿宋" w:hAnsi="仿宋" w:eastAsia="仿宋"/>
          <w:sz w:val="32"/>
          <w:szCs w:val="32"/>
          <w:highlight w:val="none"/>
        </w:rPr>
        <w:t>21642</w:t>
      </w:r>
      <w:r>
        <w:rPr>
          <w:rFonts w:ascii="仿宋" w:hAnsi="仿宋" w:eastAsia="仿宋" w:cs="仿宋"/>
          <w:sz w:val="32"/>
          <w:highlight w:val="none"/>
        </w:rPr>
        <w:t>米，</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hint="eastAsia" w:ascii="仿宋" w:hAnsi="仿宋" w:eastAsia="仿宋" w:cs="仿宋"/>
          <w:sz w:val="32"/>
          <w:highlight w:val="none"/>
          <w:lang w:val="en-US" w:eastAsia="zh-CN"/>
        </w:rPr>
        <w:t>2660</w:t>
      </w:r>
      <w:r>
        <w:rPr>
          <w:rFonts w:ascii="仿宋" w:hAnsi="仿宋" w:eastAsia="仿宋" w:cs="仿宋"/>
          <w:sz w:val="32"/>
          <w:highlight w:val="none"/>
        </w:rPr>
        <w:t>米，分值</w:t>
      </w:r>
      <w:r>
        <w:rPr>
          <w:rFonts w:hint="eastAsia" w:ascii="仿宋" w:hAnsi="仿宋" w:eastAsia="仿宋" w:cs="仿宋"/>
          <w:sz w:val="32"/>
          <w:highlight w:val="none"/>
          <w:lang w:val="en-US" w:eastAsia="zh-CN"/>
        </w:rPr>
        <w:t>3</w:t>
      </w:r>
      <w:r>
        <w:rPr>
          <w:rFonts w:ascii="仿宋" w:hAnsi="仿宋" w:eastAsia="仿宋" w:cs="仿宋"/>
          <w:sz w:val="32"/>
          <w:highlight w:val="none"/>
        </w:rPr>
        <w:t>，得分0.</w:t>
      </w:r>
      <w:r>
        <w:rPr>
          <w:rFonts w:hint="eastAsia" w:ascii="仿宋" w:hAnsi="仿宋" w:eastAsia="仿宋" w:cs="仿宋"/>
          <w:sz w:val="32"/>
          <w:highlight w:val="none"/>
          <w:lang w:val="en-US" w:eastAsia="zh-CN"/>
        </w:rPr>
        <w:t>36</w:t>
      </w:r>
      <w:r>
        <w:rPr>
          <w:rFonts w:hint="eastAsia" w:ascii="仿宋" w:hAnsi="仿宋" w:eastAsia="仿宋"/>
          <w:sz w:val="32"/>
          <w:szCs w:val="32"/>
          <w:highlight w:val="none"/>
        </w:rPr>
        <w:t>。</w:t>
      </w:r>
    </w:p>
    <w:p>
      <w:pPr>
        <w:spacing w:line="620" w:lineRule="exact"/>
        <w:ind w:left="420" w:leftChars="200" w:firstLine="0" w:firstLineChars="0"/>
        <w:rPr>
          <w:rFonts w:hint="eastAsia" w:ascii="仿宋" w:hAnsi="仿宋" w:eastAsia="仿宋"/>
          <w:sz w:val="32"/>
          <w:szCs w:val="32"/>
          <w:highlight w:val="none"/>
        </w:rPr>
      </w:pPr>
      <w:r>
        <w:rPr>
          <w:rFonts w:hint="eastAsia" w:ascii="仿宋" w:hAnsi="仿宋" w:eastAsia="仿宋" w:cs="仿宋"/>
          <w:sz w:val="32"/>
          <w:highlight w:val="none"/>
          <w:lang w:val="en-US" w:eastAsia="zh-CN"/>
        </w:rPr>
        <w:t>3</w:t>
      </w:r>
      <w:r>
        <w:rPr>
          <w:rFonts w:ascii="仿宋" w:hAnsi="仿宋" w:eastAsia="仿宋" w:cs="仿宋"/>
          <w:sz w:val="32"/>
          <w:highlight w:val="none"/>
        </w:rPr>
        <w:t>)更换</w:t>
      </w:r>
      <w:r>
        <w:rPr>
          <w:rFonts w:hint="eastAsia" w:ascii="仿宋" w:hAnsi="仿宋" w:eastAsia="仿宋" w:cs="仿宋"/>
          <w:sz w:val="32"/>
          <w:highlight w:val="none"/>
          <w:lang w:eastAsia="zh-CN"/>
        </w:rPr>
        <w:t>燃气市政管网</w:t>
      </w:r>
      <w:r>
        <w:rPr>
          <w:rFonts w:ascii="仿宋" w:hAnsi="仿宋" w:eastAsia="仿宋" w:cs="仿宋"/>
          <w:sz w:val="32"/>
          <w:highlight w:val="none"/>
        </w:rPr>
        <w:t>，目标值</w:t>
      </w:r>
      <w:r>
        <w:rPr>
          <w:rFonts w:hint="eastAsia" w:ascii="仿宋" w:hAnsi="仿宋" w:eastAsia="仿宋"/>
          <w:sz w:val="32"/>
          <w:szCs w:val="32"/>
          <w:highlight w:val="none"/>
          <w:lang w:val="en-US" w:eastAsia="zh-CN"/>
        </w:rPr>
        <w:t>大于等于10146</w:t>
      </w:r>
      <w:r>
        <w:rPr>
          <w:rFonts w:ascii="仿宋" w:hAnsi="仿宋" w:eastAsia="仿宋" w:cs="仿宋"/>
          <w:sz w:val="32"/>
          <w:highlight w:val="none"/>
        </w:rPr>
        <w:t>米，</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hint="eastAsia" w:ascii="仿宋" w:hAnsi="仿宋" w:eastAsia="仿宋" w:cs="仿宋"/>
          <w:sz w:val="32"/>
          <w:highlight w:val="none"/>
          <w:lang w:val="en-US" w:eastAsia="zh-CN"/>
        </w:rPr>
        <w:t>420</w:t>
      </w:r>
      <w:r>
        <w:rPr>
          <w:rFonts w:ascii="仿宋" w:hAnsi="仿宋" w:eastAsia="仿宋" w:cs="仿宋"/>
          <w:sz w:val="32"/>
          <w:highlight w:val="none"/>
        </w:rPr>
        <w:t>米，分值</w:t>
      </w:r>
      <w:r>
        <w:rPr>
          <w:rFonts w:hint="eastAsia" w:ascii="仿宋" w:hAnsi="仿宋" w:eastAsia="仿宋" w:cs="仿宋"/>
          <w:sz w:val="32"/>
          <w:highlight w:val="none"/>
          <w:lang w:val="en-US" w:eastAsia="zh-CN"/>
        </w:rPr>
        <w:t>2</w:t>
      </w:r>
      <w:r>
        <w:rPr>
          <w:rFonts w:ascii="仿宋" w:hAnsi="仿宋" w:eastAsia="仿宋" w:cs="仿宋"/>
          <w:sz w:val="32"/>
          <w:highlight w:val="none"/>
        </w:rPr>
        <w:t>，得分0.</w:t>
      </w:r>
      <w:r>
        <w:rPr>
          <w:rFonts w:hint="eastAsia" w:ascii="仿宋" w:hAnsi="仿宋" w:eastAsia="仿宋" w:cs="仿宋"/>
          <w:sz w:val="32"/>
          <w:highlight w:val="none"/>
          <w:lang w:val="en-US" w:eastAsia="zh-CN"/>
        </w:rPr>
        <w:t>08</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2、质量指标</w:t>
      </w:r>
    </w:p>
    <w:p>
      <w:pPr>
        <w:spacing w:line="620" w:lineRule="exact"/>
        <w:ind w:left="420" w:leftChars="200" w:firstLine="0" w:firstLineChars="0"/>
        <w:rPr>
          <w:rFonts w:ascii="仿宋" w:hAnsi="仿宋" w:eastAsia="仿宋"/>
          <w:sz w:val="32"/>
          <w:szCs w:val="32"/>
          <w:highlight w:val="none"/>
        </w:rPr>
      </w:pPr>
      <w:r>
        <w:rPr>
          <w:rFonts w:hint="eastAsia" w:ascii="仿宋" w:hAnsi="仿宋" w:eastAsia="仿宋" w:cs="仿宋"/>
          <w:sz w:val="32"/>
          <w:highlight w:val="none"/>
          <w:lang w:val="en-US" w:eastAsia="zh-CN"/>
        </w:rPr>
        <w:t>4</w:t>
      </w:r>
      <w:r>
        <w:rPr>
          <w:rFonts w:ascii="仿宋" w:hAnsi="仿宋" w:eastAsia="仿宋" w:cs="仿宋"/>
          <w:sz w:val="32"/>
          <w:highlight w:val="none"/>
        </w:rPr>
        <w:t>)材料合格率，目标值</w:t>
      </w:r>
      <w:r>
        <w:rPr>
          <w:rFonts w:hint="eastAsia" w:ascii="仿宋" w:hAnsi="仿宋" w:eastAsia="仿宋"/>
          <w:sz w:val="32"/>
          <w:szCs w:val="32"/>
          <w:highlight w:val="none"/>
          <w:lang w:val="en-US" w:eastAsia="zh-CN"/>
        </w:rPr>
        <w:t>大于等于</w:t>
      </w:r>
      <w:r>
        <w:rPr>
          <w:rFonts w:hint="eastAsia" w:ascii="仿宋" w:hAnsi="仿宋" w:eastAsia="仿宋"/>
          <w:sz w:val="32"/>
          <w:szCs w:val="32"/>
          <w:highlight w:val="none"/>
        </w:rPr>
        <w:t>97</w:t>
      </w:r>
      <w:r>
        <w:rPr>
          <w:rFonts w:ascii="仿宋" w:hAnsi="仿宋" w:eastAsia="仿宋" w:cs="仿宋"/>
          <w:sz w:val="32"/>
          <w:highlight w:val="none"/>
        </w:rPr>
        <w:t>%，</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ascii="仿宋" w:hAnsi="仿宋" w:eastAsia="仿宋" w:cs="仿宋"/>
          <w:sz w:val="32"/>
          <w:highlight w:val="none"/>
        </w:rPr>
        <w:t>97%，分值</w:t>
      </w:r>
      <w:r>
        <w:rPr>
          <w:rFonts w:hint="eastAsia" w:ascii="仿宋" w:hAnsi="仿宋" w:eastAsia="仿宋" w:cs="仿宋"/>
          <w:sz w:val="32"/>
          <w:highlight w:val="none"/>
          <w:lang w:val="en-US" w:eastAsia="zh-CN"/>
        </w:rPr>
        <w:t>2</w:t>
      </w:r>
      <w:r>
        <w:rPr>
          <w:rFonts w:ascii="仿宋" w:hAnsi="仿宋" w:eastAsia="仿宋" w:cs="仿宋"/>
          <w:sz w:val="32"/>
          <w:highlight w:val="none"/>
        </w:rPr>
        <w:t>，得分</w:t>
      </w:r>
      <w:r>
        <w:rPr>
          <w:rFonts w:hint="eastAsia" w:ascii="仿宋" w:hAnsi="仿宋" w:eastAsia="仿宋" w:cs="仿宋"/>
          <w:sz w:val="32"/>
          <w:highlight w:val="none"/>
          <w:lang w:val="en-US" w:eastAsia="zh-CN"/>
        </w:rPr>
        <w:t>2</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hint="eastAsia" w:ascii="仿宋" w:hAnsi="仿宋" w:eastAsia="仿宋" w:cs="仿宋"/>
          <w:sz w:val="32"/>
          <w:highlight w:val="none"/>
          <w:lang w:val="en-US" w:eastAsia="zh-CN"/>
        </w:rPr>
        <w:t>5</w:t>
      </w:r>
      <w:r>
        <w:rPr>
          <w:rFonts w:ascii="仿宋" w:hAnsi="仿宋" w:eastAsia="仿宋" w:cs="仿宋"/>
          <w:sz w:val="32"/>
          <w:highlight w:val="none"/>
        </w:rPr>
        <w:t>)验收合格率，目标值</w:t>
      </w:r>
      <w:r>
        <w:rPr>
          <w:rFonts w:hint="eastAsia" w:ascii="仿宋" w:hAnsi="仿宋" w:eastAsia="仿宋"/>
          <w:sz w:val="32"/>
          <w:szCs w:val="32"/>
          <w:highlight w:val="none"/>
          <w:lang w:val="en-US" w:eastAsia="zh-CN"/>
        </w:rPr>
        <w:t>大于等于</w:t>
      </w:r>
      <w:r>
        <w:rPr>
          <w:rFonts w:hint="eastAsia" w:ascii="仿宋" w:hAnsi="仿宋" w:eastAsia="仿宋"/>
          <w:sz w:val="32"/>
          <w:szCs w:val="32"/>
          <w:highlight w:val="none"/>
        </w:rPr>
        <w:t>97</w:t>
      </w:r>
      <w:r>
        <w:rPr>
          <w:rFonts w:ascii="仿宋" w:hAnsi="仿宋" w:eastAsia="仿宋" w:cs="仿宋"/>
          <w:sz w:val="32"/>
          <w:highlight w:val="none"/>
        </w:rPr>
        <w:t>%，</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ascii="仿宋" w:hAnsi="仿宋" w:eastAsia="仿宋" w:cs="仿宋"/>
          <w:sz w:val="32"/>
          <w:highlight w:val="none"/>
        </w:rPr>
        <w:t>97%，分值</w:t>
      </w:r>
      <w:r>
        <w:rPr>
          <w:rFonts w:hint="eastAsia" w:ascii="仿宋" w:hAnsi="仿宋" w:eastAsia="仿宋" w:cs="仿宋"/>
          <w:sz w:val="32"/>
          <w:highlight w:val="none"/>
          <w:lang w:val="en-US" w:eastAsia="zh-CN"/>
        </w:rPr>
        <w:t>3</w:t>
      </w:r>
      <w:r>
        <w:rPr>
          <w:rFonts w:ascii="仿宋" w:hAnsi="仿宋" w:eastAsia="仿宋" w:cs="仿宋"/>
          <w:sz w:val="32"/>
          <w:highlight w:val="none"/>
        </w:rPr>
        <w:t>，得分</w:t>
      </w:r>
      <w:r>
        <w:rPr>
          <w:rFonts w:hint="eastAsia" w:ascii="仿宋" w:hAnsi="仿宋" w:eastAsia="仿宋" w:cs="仿宋"/>
          <w:sz w:val="32"/>
          <w:highlight w:val="none"/>
          <w:lang w:val="en-US" w:eastAsia="zh-CN"/>
        </w:rPr>
        <w:t>3</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3、时效指标</w:t>
      </w:r>
    </w:p>
    <w:p>
      <w:pPr>
        <w:spacing w:line="620" w:lineRule="exact"/>
        <w:ind w:left="420" w:leftChars="200" w:firstLine="0" w:firstLineChars="0"/>
        <w:rPr>
          <w:rFonts w:ascii="仿宋" w:hAnsi="仿宋" w:eastAsia="仿宋"/>
          <w:sz w:val="32"/>
          <w:szCs w:val="32"/>
          <w:highlight w:val="none"/>
        </w:rPr>
      </w:pPr>
      <w:r>
        <w:rPr>
          <w:rFonts w:hint="eastAsia" w:ascii="仿宋" w:hAnsi="仿宋" w:eastAsia="仿宋" w:cs="仿宋"/>
          <w:sz w:val="32"/>
          <w:highlight w:val="none"/>
          <w:lang w:val="en-US" w:eastAsia="zh-CN"/>
        </w:rPr>
        <w:t>6</w:t>
      </w:r>
      <w:r>
        <w:rPr>
          <w:rFonts w:ascii="仿宋" w:hAnsi="仿宋" w:eastAsia="仿宋" w:cs="仿宋"/>
          <w:sz w:val="32"/>
          <w:highlight w:val="none"/>
        </w:rPr>
        <w:t>)按时开工率，目标值</w:t>
      </w:r>
      <w:r>
        <w:rPr>
          <w:rFonts w:hint="eastAsia" w:ascii="仿宋" w:hAnsi="仿宋" w:eastAsia="仿宋"/>
          <w:sz w:val="32"/>
          <w:szCs w:val="32"/>
          <w:highlight w:val="none"/>
          <w:lang w:val="en-US" w:eastAsia="zh-CN"/>
        </w:rPr>
        <w:t>大于等于</w:t>
      </w:r>
      <w:r>
        <w:rPr>
          <w:rFonts w:hint="eastAsia" w:ascii="仿宋" w:hAnsi="仿宋" w:eastAsia="仿宋"/>
          <w:sz w:val="32"/>
          <w:szCs w:val="32"/>
          <w:highlight w:val="none"/>
        </w:rPr>
        <w:t>98</w:t>
      </w:r>
      <w:r>
        <w:rPr>
          <w:rFonts w:ascii="仿宋" w:hAnsi="仿宋" w:eastAsia="仿宋" w:cs="仿宋"/>
          <w:sz w:val="32"/>
          <w:highlight w:val="none"/>
        </w:rPr>
        <w:t>%，</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ascii="仿宋" w:hAnsi="仿宋" w:eastAsia="仿宋" w:cs="仿宋"/>
          <w:sz w:val="32"/>
          <w:highlight w:val="none"/>
        </w:rPr>
        <w:t>98%，分值</w:t>
      </w:r>
      <w:r>
        <w:rPr>
          <w:rFonts w:hint="eastAsia" w:ascii="仿宋" w:hAnsi="仿宋" w:eastAsia="仿宋" w:cs="仿宋"/>
          <w:sz w:val="32"/>
          <w:highlight w:val="none"/>
          <w:lang w:val="en-US" w:eastAsia="zh-CN"/>
        </w:rPr>
        <w:t>3</w:t>
      </w:r>
      <w:r>
        <w:rPr>
          <w:rFonts w:ascii="仿宋" w:hAnsi="仿宋" w:eastAsia="仿宋" w:cs="仿宋"/>
          <w:sz w:val="32"/>
          <w:highlight w:val="none"/>
        </w:rPr>
        <w:t>，得分</w:t>
      </w:r>
      <w:r>
        <w:rPr>
          <w:rFonts w:hint="eastAsia" w:ascii="仿宋" w:hAnsi="仿宋" w:eastAsia="仿宋" w:cs="仿宋"/>
          <w:sz w:val="32"/>
          <w:highlight w:val="none"/>
          <w:lang w:val="en-US" w:eastAsia="zh-CN"/>
        </w:rPr>
        <w:t>3</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hint="eastAsia" w:ascii="仿宋" w:hAnsi="仿宋" w:eastAsia="仿宋" w:cs="仿宋"/>
          <w:sz w:val="32"/>
          <w:highlight w:val="none"/>
          <w:lang w:val="en-US" w:eastAsia="zh-CN"/>
        </w:rPr>
        <w:t>7</w:t>
      </w:r>
      <w:r>
        <w:rPr>
          <w:rFonts w:ascii="仿宋" w:hAnsi="仿宋" w:eastAsia="仿宋" w:cs="仿宋"/>
          <w:sz w:val="32"/>
          <w:highlight w:val="none"/>
        </w:rPr>
        <w:t>)按时完工率，目标值</w:t>
      </w:r>
      <w:r>
        <w:rPr>
          <w:rFonts w:hint="eastAsia" w:ascii="仿宋" w:hAnsi="仿宋" w:eastAsia="仿宋"/>
          <w:sz w:val="32"/>
          <w:szCs w:val="32"/>
          <w:highlight w:val="none"/>
          <w:lang w:val="en-US" w:eastAsia="zh-CN"/>
        </w:rPr>
        <w:t>大于等于</w:t>
      </w:r>
      <w:r>
        <w:rPr>
          <w:rFonts w:hint="eastAsia" w:ascii="仿宋" w:hAnsi="仿宋" w:eastAsia="仿宋"/>
          <w:sz w:val="32"/>
          <w:szCs w:val="32"/>
          <w:highlight w:val="none"/>
        </w:rPr>
        <w:t>95</w:t>
      </w:r>
      <w:r>
        <w:rPr>
          <w:rFonts w:ascii="仿宋" w:hAnsi="仿宋" w:eastAsia="仿宋" w:cs="仿宋"/>
          <w:sz w:val="32"/>
          <w:highlight w:val="none"/>
        </w:rPr>
        <w:t>%，</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ascii="仿宋" w:hAnsi="仿宋" w:eastAsia="仿宋" w:cs="仿宋"/>
          <w:sz w:val="32"/>
          <w:highlight w:val="none"/>
        </w:rPr>
        <w:t>95%，分值</w:t>
      </w:r>
      <w:r>
        <w:rPr>
          <w:rFonts w:hint="eastAsia" w:ascii="仿宋" w:hAnsi="仿宋" w:eastAsia="仿宋" w:cs="仿宋"/>
          <w:sz w:val="32"/>
          <w:highlight w:val="none"/>
          <w:lang w:val="en-US" w:eastAsia="zh-CN"/>
        </w:rPr>
        <w:t>2</w:t>
      </w:r>
      <w:r>
        <w:rPr>
          <w:rFonts w:ascii="仿宋" w:hAnsi="仿宋" w:eastAsia="仿宋" w:cs="仿宋"/>
          <w:sz w:val="32"/>
          <w:highlight w:val="none"/>
        </w:rPr>
        <w:t>，得分</w:t>
      </w:r>
      <w:r>
        <w:rPr>
          <w:rFonts w:hint="eastAsia" w:ascii="仿宋" w:hAnsi="仿宋" w:eastAsia="仿宋" w:cs="仿宋"/>
          <w:sz w:val="32"/>
          <w:highlight w:val="none"/>
          <w:lang w:val="en-US" w:eastAsia="zh-CN"/>
        </w:rPr>
        <w:t>2</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4、成本指标</w:t>
      </w:r>
    </w:p>
    <w:p>
      <w:pPr>
        <w:spacing w:line="620" w:lineRule="exact"/>
        <w:ind w:left="420" w:leftChars="200" w:firstLine="0" w:firstLineChars="0"/>
        <w:rPr>
          <w:rFonts w:ascii="仿宋" w:hAnsi="仿宋" w:eastAsia="仿宋"/>
          <w:sz w:val="32"/>
          <w:szCs w:val="32"/>
          <w:highlight w:val="none"/>
        </w:rPr>
      </w:pPr>
      <w:r>
        <w:rPr>
          <w:rFonts w:hint="eastAsia" w:ascii="仿宋" w:hAnsi="仿宋" w:eastAsia="仿宋" w:cs="仿宋"/>
          <w:sz w:val="32"/>
          <w:highlight w:val="none"/>
          <w:lang w:val="en-US" w:eastAsia="zh-CN"/>
        </w:rPr>
        <w:t>8</w:t>
      </w:r>
      <w:r>
        <w:rPr>
          <w:rFonts w:ascii="仿宋" w:hAnsi="仿宋" w:eastAsia="仿宋" w:cs="仿宋"/>
          <w:sz w:val="32"/>
          <w:highlight w:val="none"/>
        </w:rPr>
        <w:t>)成本控制率，目标值</w:t>
      </w:r>
      <w:r>
        <w:rPr>
          <w:rFonts w:hint="eastAsia" w:ascii="仿宋" w:hAnsi="仿宋" w:eastAsia="仿宋"/>
          <w:sz w:val="32"/>
          <w:szCs w:val="32"/>
          <w:highlight w:val="none"/>
          <w:lang w:val="en-US" w:eastAsia="zh-CN"/>
        </w:rPr>
        <w:t>大于等于</w:t>
      </w:r>
      <w:r>
        <w:rPr>
          <w:rFonts w:hint="eastAsia" w:ascii="仿宋" w:hAnsi="仿宋" w:eastAsia="仿宋"/>
          <w:sz w:val="32"/>
          <w:szCs w:val="32"/>
          <w:highlight w:val="none"/>
        </w:rPr>
        <w:t>96</w:t>
      </w:r>
      <w:r>
        <w:rPr>
          <w:rFonts w:ascii="仿宋" w:hAnsi="仿宋" w:eastAsia="仿宋" w:cs="仿宋"/>
          <w:sz w:val="32"/>
          <w:highlight w:val="none"/>
        </w:rPr>
        <w:t>%，</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ascii="仿宋" w:hAnsi="仿宋" w:eastAsia="仿宋" w:cs="仿宋"/>
          <w:sz w:val="32"/>
          <w:highlight w:val="none"/>
        </w:rPr>
        <w:t>96%，分值5，得分5</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hint="eastAsia" w:ascii="仿宋" w:hAnsi="仿宋" w:eastAsia="仿宋" w:cs="仿宋"/>
          <w:sz w:val="32"/>
          <w:highlight w:val="none"/>
          <w:lang w:val="en-US" w:eastAsia="zh-CN"/>
        </w:rPr>
        <w:t>9</w:t>
      </w:r>
      <w:r>
        <w:rPr>
          <w:rFonts w:ascii="仿宋" w:hAnsi="仿宋" w:eastAsia="仿宋" w:cs="仿宋"/>
          <w:sz w:val="32"/>
          <w:highlight w:val="none"/>
        </w:rPr>
        <w:t>)资金成本，目标值</w:t>
      </w:r>
      <w:r>
        <w:rPr>
          <w:rFonts w:hint="eastAsia" w:ascii="仿宋" w:hAnsi="仿宋" w:eastAsia="仿宋"/>
          <w:sz w:val="32"/>
          <w:szCs w:val="32"/>
          <w:highlight w:val="none"/>
          <w:lang w:val="en-US" w:eastAsia="zh-CN"/>
        </w:rPr>
        <w:t>小于等于</w:t>
      </w:r>
      <w:r>
        <w:rPr>
          <w:rFonts w:hint="eastAsia" w:ascii="仿宋" w:hAnsi="仿宋" w:eastAsia="仿宋"/>
          <w:sz w:val="32"/>
          <w:szCs w:val="32"/>
          <w:highlight w:val="none"/>
        </w:rPr>
        <w:t>7950</w:t>
      </w:r>
      <w:r>
        <w:rPr>
          <w:rFonts w:ascii="仿宋" w:hAnsi="仿宋" w:eastAsia="仿宋" w:cs="仿宋"/>
          <w:sz w:val="32"/>
          <w:highlight w:val="none"/>
        </w:rPr>
        <w:t>万元，</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hint="eastAsia" w:ascii="仿宋" w:hAnsi="仿宋" w:eastAsia="仿宋" w:cs="仿宋"/>
          <w:sz w:val="32"/>
          <w:highlight w:val="none"/>
          <w:lang w:val="en-US" w:eastAsia="zh-CN"/>
        </w:rPr>
        <w:t>21</w:t>
      </w:r>
      <w:r>
        <w:rPr>
          <w:rFonts w:ascii="仿宋" w:hAnsi="仿宋" w:eastAsia="仿宋" w:cs="仿宋"/>
          <w:sz w:val="32"/>
          <w:highlight w:val="none"/>
        </w:rPr>
        <w:t>.66万元，分值5，得分</w:t>
      </w:r>
      <w:r>
        <w:rPr>
          <w:rFonts w:hint="eastAsia" w:ascii="仿宋" w:hAnsi="仿宋" w:eastAsia="仿宋" w:cs="仿宋"/>
          <w:sz w:val="32"/>
          <w:highlight w:val="none"/>
          <w:lang w:val="en-US" w:eastAsia="zh-CN"/>
        </w:rPr>
        <w:t>0.01</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(二) 效益指标完成情况</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5、经济效益</w:t>
      </w:r>
    </w:p>
    <w:p>
      <w:pPr>
        <w:spacing w:line="620" w:lineRule="exact"/>
        <w:ind w:left="420" w:leftChars="200" w:firstLine="0" w:firstLineChars="0"/>
        <w:rPr>
          <w:rFonts w:ascii="仿宋" w:hAnsi="仿宋" w:eastAsia="仿宋"/>
          <w:sz w:val="32"/>
          <w:szCs w:val="32"/>
          <w:highlight w:val="none"/>
        </w:rPr>
      </w:pPr>
      <w:r>
        <w:rPr>
          <w:rFonts w:hint="eastAsia" w:ascii="仿宋" w:hAnsi="仿宋" w:eastAsia="仿宋" w:cs="仿宋"/>
          <w:sz w:val="32"/>
          <w:highlight w:val="none"/>
          <w:lang w:val="en-US" w:eastAsia="zh-CN"/>
        </w:rPr>
        <w:t>10</w:t>
      </w:r>
      <w:r>
        <w:rPr>
          <w:rFonts w:ascii="仿宋" w:hAnsi="仿宋" w:eastAsia="仿宋" w:cs="仿宋"/>
          <w:sz w:val="32"/>
          <w:highlight w:val="none"/>
        </w:rPr>
        <w:t>)沿线经济效益，目标值</w:t>
      </w:r>
      <w:r>
        <w:rPr>
          <w:rFonts w:hint="eastAsia" w:ascii="仿宋" w:hAnsi="仿宋" w:eastAsia="仿宋"/>
          <w:sz w:val="32"/>
          <w:szCs w:val="32"/>
          <w:highlight w:val="none"/>
        </w:rPr>
        <w:t>持续提高</w:t>
      </w:r>
      <w:r>
        <w:rPr>
          <w:rFonts w:ascii="仿宋" w:hAnsi="仿宋" w:eastAsia="仿宋" w:cs="仿宋"/>
          <w:sz w:val="32"/>
          <w:highlight w:val="none"/>
        </w:rPr>
        <w:t>，</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ascii="仿宋" w:hAnsi="仿宋" w:eastAsia="仿宋" w:cs="仿宋"/>
          <w:sz w:val="32"/>
          <w:highlight w:val="none"/>
        </w:rPr>
        <w:t>持续提高，分值</w:t>
      </w:r>
      <w:r>
        <w:rPr>
          <w:rFonts w:hint="eastAsia" w:ascii="仿宋" w:hAnsi="仿宋" w:eastAsia="仿宋" w:cs="仿宋"/>
          <w:sz w:val="32"/>
          <w:highlight w:val="none"/>
          <w:lang w:val="en-US" w:eastAsia="zh-CN"/>
        </w:rPr>
        <w:t>5</w:t>
      </w:r>
      <w:r>
        <w:rPr>
          <w:rFonts w:ascii="仿宋" w:hAnsi="仿宋" w:eastAsia="仿宋" w:cs="仿宋"/>
          <w:sz w:val="32"/>
          <w:highlight w:val="none"/>
        </w:rPr>
        <w:t>，得分</w:t>
      </w:r>
      <w:r>
        <w:rPr>
          <w:rFonts w:hint="eastAsia" w:ascii="仿宋" w:hAnsi="仿宋" w:eastAsia="仿宋" w:cs="仿宋"/>
          <w:sz w:val="32"/>
          <w:highlight w:val="none"/>
          <w:lang w:val="en-US" w:eastAsia="zh-CN"/>
        </w:rPr>
        <w:t>5</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6、社会效益</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1</w:t>
      </w:r>
      <w:r>
        <w:rPr>
          <w:rFonts w:hint="eastAsia" w:ascii="仿宋" w:hAnsi="仿宋" w:eastAsia="仿宋" w:cs="仿宋"/>
          <w:sz w:val="32"/>
          <w:highlight w:val="none"/>
          <w:lang w:val="en-US" w:eastAsia="zh-CN"/>
        </w:rPr>
        <w:t>1</w:t>
      </w:r>
      <w:r>
        <w:rPr>
          <w:rFonts w:ascii="仿宋" w:hAnsi="仿宋" w:eastAsia="仿宋" w:cs="仿宋"/>
          <w:sz w:val="32"/>
          <w:highlight w:val="none"/>
        </w:rPr>
        <w:t>)临河区宜居水平，目标值</w:t>
      </w:r>
      <w:r>
        <w:rPr>
          <w:rFonts w:hint="eastAsia" w:ascii="仿宋" w:hAnsi="仿宋" w:eastAsia="仿宋"/>
          <w:sz w:val="32"/>
          <w:szCs w:val="32"/>
          <w:highlight w:val="none"/>
        </w:rPr>
        <w:t>持续提高</w:t>
      </w:r>
      <w:r>
        <w:rPr>
          <w:rFonts w:ascii="仿宋" w:hAnsi="仿宋" w:eastAsia="仿宋" w:cs="仿宋"/>
          <w:sz w:val="32"/>
          <w:highlight w:val="none"/>
        </w:rPr>
        <w:t>，</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ascii="仿宋" w:hAnsi="仿宋" w:eastAsia="仿宋" w:cs="仿宋"/>
          <w:sz w:val="32"/>
          <w:highlight w:val="none"/>
        </w:rPr>
        <w:t>持续提高，分值</w:t>
      </w:r>
      <w:r>
        <w:rPr>
          <w:rFonts w:hint="eastAsia" w:ascii="仿宋" w:hAnsi="仿宋" w:eastAsia="仿宋" w:cs="仿宋"/>
          <w:sz w:val="32"/>
          <w:highlight w:val="none"/>
          <w:lang w:val="en-US" w:eastAsia="zh-CN"/>
        </w:rPr>
        <w:t>5</w:t>
      </w:r>
      <w:r>
        <w:rPr>
          <w:rFonts w:ascii="仿宋" w:hAnsi="仿宋" w:eastAsia="仿宋" w:cs="仿宋"/>
          <w:sz w:val="32"/>
          <w:highlight w:val="none"/>
        </w:rPr>
        <w:t>，得分</w:t>
      </w:r>
      <w:r>
        <w:rPr>
          <w:rFonts w:hint="eastAsia" w:ascii="仿宋" w:hAnsi="仿宋" w:eastAsia="仿宋" w:cs="仿宋"/>
          <w:sz w:val="32"/>
          <w:highlight w:val="none"/>
          <w:lang w:val="en-US" w:eastAsia="zh-CN"/>
        </w:rPr>
        <w:t>5</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7、生态效益</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1</w:t>
      </w:r>
      <w:r>
        <w:rPr>
          <w:rFonts w:hint="eastAsia" w:ascii="仿宋" w:hAnsi="仿宋" w:eastAsia="仿宋" w:cs="仿宋"/>
          <w:sz w:val="32"/>
          <w:highlight w:val="none"/>
          <w:lang w:val="en-US" w:eastAsia="zh-CN"/>
        </w:rPr>
        <w:t>2</w:t>
      </w:r>
      <w:r>
        <w:rPr>
          <w:rFonts w:ascii="仿宋" w:hAnsi="仿宋" w:eastAsia="仿宋" w:cs="仿宋"/>
          <w:sz w:val="32"/>
          <w:highlight w:val="none"/>
        </w:rPr>
        <w:t>)居民生活环境，目标值</w:t>
      </w:r>
      <w:r>
        <w:rPr>
          <w:rFonts w:hint="eastAsia" w:ascii="仿宋" w:hAnsi="仿宋" w:eastAsia="仿宋"/>
          <w:sz w:val="32"/>
          <w:szCs w:val="32"/>
          <w:highlight w:val="none"/>
        </w:rPr>
        <w:t>持续改善</w:t>
      </w:r>
      <w:r>
        <w:rPr>
          <w:rFonts w:ascii="仿宋" w:hAnsi="仿宋" w:eastAsia="仿宋" w:cs="仿宋"/>
          <w:sz w:val="32"/>
          <w:highlight w:val="none"/>
        </w:rPr>
        <w:t>，</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ascii="仿宋" w:hAnsi="仿宋" w:eastAsia="仿宋" w:cs="仿宋"/>
          <w:sz w:val="32"/>
          <w:highlight w:val="none"/>
        </w:rPr>
        <w:t>持续改善，分值</w:t>
      </w:r>
      <w:r>
        <w:rPr>
          <w:rFonts w:hint="eastAsia" w:ascii="仿宋" w:hAnsi="仿宋" w:eastAsia="仿宋" w:cs="仿宋"/>
          <w:sz w:val="32"/>
          <w:highlight w:val="none"/>
          <w:lang w:val="en-US" w:eastAsia="zh-CN"/>
        </w:rPr>
        <w:t>5</w:t>
      </w:r>
      <w:r>
        <w:rPr>
          <w:rFonts w:ascii="仿宋" w:hAnsi="仿宋" w:eastAsia="仿宋" w:cs="仿宋"/>
          <w:sz w:val="32"/>
          <w:highlight w:val="none"/>
        </w:rPr>
        <w:t>，得分</w:t>
      </w:r>
      <w:r>
        <w:rPr>
          <w:rFonts w:hint="eastAsia" w:ascii="仿宋" w:hAnsi="仿宋" w:eastAsia="仿宋" w:cs="仿宋"/>
          <w:sz w:val="32"/>
          <w:highlight w:val="none"/>
          <w:lang w:val="en-US" w:eastAsia="zh-CN"/>
        </w:rPr>
        <w:t>5</w:t>
      </w:r>
      <w:r>
        <w:rPr>
          <w:rFonts w:hint="eastAsia" w:ascii="仿宋" w:hAnsi="仿宋" w:eastAsia="仿宋"/>
          <w:sz w:val="32"/>
          <w:szCs w:val="32"/>
          <w:highlight w:val="none"/>
        </w:rPr>
        <w:t>。</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(三) 满意度指标完成情况</w:t>
      </w:r>
    </w:p>
    <w:p>
      <w:pPr>
        <w:spacing w:line="620" w:lineRule="exact"/>
        <w:ind w:left="420" w:leftChars="200" w:firstLine="0" w:firstLineChars="0"/>
        <w:rPr>
          <w:rFonts w:ascii="仿宋" w:hAnsi="仿宋" w:eastAsia="仿宋"/>
          <w:sz w:val="32"/>
          <w:szCs w:val="32"/>
          <w:highlight w:val="none"/>
        </w:rPr>
      </w:pPr>
      <w:r>
        <w:rPr>
          <w:rFonts w:hint="eastAsia" w:ascii="仿宋" w:hAnsi="仿宋" w:eastAsia="仿宋" w:cs="仿宋"/>
          <w:sz w:val="32"/>
          <w:highlight w:val="none"/>
          <w:lang w:val="en-US" w:eastAsia="zh-CN"/>
        </w:rPr>
        <w:t>8</w:t>
      </w:r>
      <w:r>
        <w:rPr>
          <w:rFonts w:ascii="仿宋" w:hAnsi="仿宋" w:eastAsia="仿宋" w:cs="仿宋"/>
          <w:sz w:val="32"/>
          <w:highlight w:val="none"/>
        </w:rPr>
        <w:t>、服务对象满意度</w:t>
      </w:r>
    </w:p>
    <w:p>
      <w:pPr>
        <w:spacing w:line="620" w:lineRule="exact"/>
        <w:ind w:left="420" w:leftChars="200" w:firstLine="0" w:firstLineChars="0"/>
        <w:rPr>
          <w:rFonts w:ascii="仿宋" w:hAnsi="仿宋" w:eastAsia="仿宋"/>
          <w:sz w:val="32"/>
          <w:szCs w:val="32"/>
          <w:highlight w:val="none"/>
        </w:rPr>
      </w:pPr>
      <w:r>
        <w:rPr>
          <w:rFonts w:ascii="仿宋" w:hAnsi="仿宋" w:eastAsia="仿宋" w:cs="仿宋"/>
          <w:sz w:val="32"/>
          <w:highlight w:val="none"/>
        </w:rPr>
        <w:t>13)</w:t>
      </w:r>
      <w:r>
        <w:rPr>
          <w:rFonts w:hint="eastAsia" w:ascii="仿宋" w:hAnsi="仿宋" w:eastAsia="仿宋" w:cs="仿宋"/>
          <w:sz w:val="32"/>
          <w:highlight w:val="none"/>
          <w:lang w:eastAsia="zh-CN"/>
        </w:rPr>
        <w:t>受益对象</w:t>
      </w:r>
      <w:r>
        <w:rPr>
          <w:rFonts w:ascii="仿宋" w:hAnsi="仿宋" w:eastAsia="仿宋" w:cs="仿宋"/>
          <w:sz w:val="32"/>
          <w:highlight w:val="none"/>
        </w:rPr>
        <w:t>满意度，目标值</w:t>
      </w:r>
      <w:r>
        <w:rPr>
          <w:rFonts w:hint="eastAsia" w:ascii="仿宋" w:hAnsi="仿宋" w:eastAsia="仿宋"/>
          <w:sz w:val="32"/>
          <w:szCs w:val="32"/>
          <w:highlight w:val="none"/>
          <w:lang w:val="en-US" w:eastAsia="zh-CN"/>
        </w:rPr>
        <w:t>满意</w:t>
      </w:r>
      <w:r>
        <w:rPr>
          <w:rFonts w:ascii="仿宋" w:hAnsi="仿宋" w:eastAsia="仿宋" w:cs="仿宋"/>
          <w:sz w:val="32"/>
          <w:highlight w:val="none"/>
        </w:rPr>
        <w:t>，</w:t>
      </w:r>
      <w:r>
        <w:rPr>
          <w:rFonts w:hint="eastAsia" w:ascii="仿宋" w:hAnsi="仿宋" w:eastAsia="仿宋"/>
          <w:sz w:val="32"/>
          <w:szCs w:val="32"/>
          <w:highlight w:val="none"/>
          <w:lang w:val="en-US" w:eastAsia="zh-CN"/>
        </w:rPr>
        <w:t>实际</w:t>
      </w:r>
      <w:r>
        <w:rPr>
          <w:rFonts w:hint="eastAsia" w:ascii="仿宋" w:hAnsi="仿宋" w:eastAsia="仿宋"/>
          <w:sz w:val="32"/>
          <w:szCs w:val="32"/>
          <w:highlight w:val="none"/>
        </w:rPr>
        <w:t>完成</w:t>
      </w:r>
      <w:r>
        <w:rPr>
          <w:rFonts w:hint="eastAsia" w:ascii="仿宋" w:hAnsi="仿宋" w:eastAsia="仿宋" w:cs="仿宋"/>
          <w:sz w:val="32"/>
          <w:highlight w:val="none"/>
          <w:lang w:eastAsia="zh-CN"/>
        </w:rPr>
        <w:t>满意</w:t>
      </w:r>
      <w:r>
        <w:rPr>
          <w:rFonts w:ascii="仿宋" w:hAnsi="仿宋" w:eastAsia="仿宋" w:cs="仿宋"/>
          <w:sz w:val="32"/>
          <w:highlight w:val="none"/>
        </w:rPr>
        <w:t>，分值</w:t>
      </w:r>
      <w:r>
        <w:rPr>
          <w:rFonts w:hint="eastAsia" w:ascii="仿宋" w:hAnsi="仿宋" w:eastAsia="仿宋" w:cs="仿宋"/>
          <w:sz w:val="32"/>
          <w:highlight w:val="none"/>
          <w:lang w:val="en-US" w:eastAsia="zh-CN"/>
        </w:rPr>
        <w:t>5</w:t>
      </w:r>
      <w:r>
        <w:rPr>
          <w:rFonts w:ascii="仿宋" w:hAnsi="仿宋" w:eastAsia="仿宋" w:cs="仿宋"/>
          <w:sz w:val="32"/>
          <w:highlight w:val="none"/>
        </w:rPr>
        <w:t>，得分</w:t>
      </w:r>
      <w:r>
        <w:rPr>
          <w:rFonts w:hint="eastAsia" w:ascii="仿宋" w:hAnsi="仿宋" w:eastAsia="仿宋" w:cs="仿宋"/>
          <w:sz w:val="32"/>
          <w:highlight w:val="none"/>
          <w:lang w:val="en-US" w:eastAsia="zh-CN"/>
        </w:rPr>
        <w:t>5</w:t>
      </w:r>
      <w:r>
        <w:rPr>
          <w:rFonts w:hint="eastAsia" w:ascii="仿宋" w:hAnsi="仿宋" w:eastAsia="仿宋"/>
          <w:sz w:val="32"/>
          <w:szCs w:val="32"/>
          <w:highlight w:val="none"/>
        </w:rPr>
        <w:t>。</w:t>
      </w:r>
    </w:p>
    <w:p>
      <w:pPr>
        <w:numPr>
          <w:ilvl w:val="0"/>
          <w:numId w:val="2"/>
        </w:numPr>
        <w:spacing w:before="232" w:line="219" w:lineRule="auto"/>
        <w:ind w:left="639"/>
        <w:rPr>
          <w:rFonts w:ascii="宋体" w:hAnsi="宋体" w:eastAsia="宋体" w:cs="宋体"/>
          <w:b/>
          <w:bCs/>
          <w:spacing w:val="-6"/>
          <w:sz w:val="29"/>
          <w:szCs w:val="29"/>
        </w:rPr>
      </w:pPr>
      <w:r>
        <w:rPr>
          <w:rFonts w:ascii="宋体" w:hAnsi="宋体" w:eastAsia="宋体" w:cs="宋体"/>
          <w:b/>
          <w:bCs/>
          <w:spacing w:val="-6"/>
          <w:sz w:val="29"/>
          <w:szCs w:val="29"/>
        </w:rPr>
        <w:t>发现的主要问题和改进措施</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个项目于7月26日收到财政资金下达计划后开工，2023年项目10月份完成招投标工作，距离冬季休工期只剩不足一月，当年无法完工。管网改造道路均为临河城区主干道，开挖后需大面积围挡，冬季休工期约4—5个月，持续围挡将严重影响周边居民正常生活出行，为避免舆情反应强烈，遂定于2024年3月份陆续开工建设。导致燃气管网工程进展缓慢。</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截至目前项目已全部复工，已提前规划施工进度，分批错峰施工，切实加快项目施工进度，确保项目今年全部完工。</w:t>
      </w:r>
    </w:p>
    <w:p>
      <w:pPr>
        <w:spacing w:before="188" w:line="204" w:lineRule="auto"/>
        <w:ind w:firstLine="577"/>
        <w:rPr>
          <w:rFonts w:hint="eastAsia" w:ascii="仿宋" w:hAnsi="仿宋" w:eastAsia="仿宋" w:cs="仿宋"/>
          <w:snapToGrid w:val="0"/>
          <w:color w:val="000000"/>
          <w:spacing w:val="3"/>
          <w:kern w:val="0"/>
          <w:position w:val="23"/>
          <w:sz w:val="29"/>
          <w:szCs w:val="29"/>
          <w:lang w:val="en-US" w:eastAsia="zh-CN" w:bidi="ar-SA"/>
        </w:rPr>
      </w:pPr>
    </w:p>
    <w:p>
      <w:pPr>
        <w:spacing w:before="1" w:line="220" w:lineRule="auto"/>
        <w:ind w:left="789"/>
        <w:rPr>
          <w:rFonts w:ascii="黑体" w:hAnsi="黑体" w:eastAsia="黑体" w:cs="黑体"/>
          <w:b/>
          <w:bCs/>
          <w:spacing w:val="3"/>
          <w:sz w:val="28"/>
          <w:szCs w:val="28"/>
        </w:rPr>
      </w:pPr>
      <w:r>
        <w:rPr>
          <w:rFonts w:ascii="黑体" w:hAnsi="黑体" w:eastAsia="黑体" w:cs="黑体"/>
          <w:b/>
          <w:bCs/>
          <w:spacing w:val="3"/>
          <w:sz w:val="28"/>
          <w:szCs w:val="28"/>
        </w:rPr>
        <w:t>五 、绩效自评结果拟应用和公开情况</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用于项目申报、分配及争取上级资金。</w:t>
      </w:r>
    </w:p>
    <w:p>
      <w:pPr>
        <w:spacing w:before="1" w:line="220" w:lineRule="auto"/>
        <w:ind w:left="789"/>
        <w:rPr>
          <w:rFonts w:ascii="黑体" w:hAnsi="黑体" w:eastAsia="黑体" w:cs="黑体"/>
          <w:b/>
          <w:bCs/>
          <w:spacing w:val="3"/>
          <w:sz w:val="28"/>
          <w:szCs w:val="28"/>
        </w:rPr>
      </w:pPr>
    </w:p>
    <w:p>
      <w:pPr>
        <w:spacing w:before="1" w:line="220" w:lineRule="auto"/>
        <w:ind w:left="789"/>
        <w:rPr>
          <w:rFonts w:ascii="黑体" w:hAnsi="黑体" w:eastAsia="黑体" w:cs="黑体"/>
          <w:sz w:val="28"/>
          <w:szCs w:val="28"/>
        </w:rPr>
      </w:pPr>
      <w:r>
        <w:rPr>
          <w:rFonts w:ascii="黑体" w:hAnsi="黑体" w:eastAsia="黑体" w:cs="黑体"/>
          <w:b/>
          <w:bCs/>
          <w:spacing w:val="3"/>
          <w:sz w:val="28"/>
          <w:szCs w:val="28"/>
        </w:rPr>
        <w:t>六、绩效自评工作开展情况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sz w:val="28"/>
          <w:szCs w:val="28"/>
        </w:rPr>
      </w:pPr>
      <w:r>
        <w:rPr>
          <w:rFonts w:hint="eastAsia" w:ascii="仿宋_GB2312" w:hAnsi="仿宋_GB2312" w:eastAsia="仿宋_GB2312" w:cs="仿宋_GB2312"/>
          <w:sz w:val="32"/>
          <w:szCs w:val="32"/>
        </w:rPr>
        <w:t>本项目资金管理严格按照有关制度执行，未发现侵占、截留、挤占、挪用资金的</w:t>
      </w:r>
      <w:bookmarkStart w:id="0" w:name="_GoBack"/>
      <w:bookmarkEnd w:id="0"/>
      <w:r>
        <w:rPr>
          <w:rFonts w:hint="eastAsia" w:ascii="仿宋_GB2312" w:hAnsi="仿宋_GB2312" w:eastAsia="仿宋_GB2312" w:cs="仿宋_GB2312"/>
          <w:sz w:val="32"/>
          <w:szCs w:val="32"/>
        </w:rPr>
        <w:t>现象，加强对项目实施过程的监督，确保做到每一个环节都有监督、有检查、有记录，取得了良好的效益</w:t>
      </w:r>
      <w:r>
        <w:rPr>
          <w:spacing w:val="3"/>
          <w:sz w:val="28"/>
          <w:szCs w:val="28"/>
        </w:rPr>
        <w:t>。</w:t>
      </w:r>
    </w:p>
    <w:p>
      <w:pPr>
        <w:spacing w:before="285" w:line="221" w:lineRule="auto"/>
        <w:ind w:left="789"/>
        <w:outlineLvl w:val="0"/>
        <w:rPr>
          <w:rFonts w:ascii="黑体" w:hAnsi="黑体" w:eastAsia="黑体" w:cs="黑体"/>
          <w:sz w:val="28"/>
          <w:szCs w:val="28"/>
        </w:rPr>
      </w:pPr>
      <w:r>
        <w:rPr>
          <w:rFonts w:ascii="黑体" w:hAnsi="黑体" w:eastAsia="黑体" w:cs="黑体"/>
          <w:b/>
          <w:bCs/>
          <w:spacing w:val="2"/>
          <w:sz w:val="28"/>
          <w:szCs w:val="28"/>
        </w:rPr>
        <w:t>七、其他需要说明的问题</w:t>
      </w:r>
    </w:p>
    <w:p>
      <w:pPr>
        <w:pStyle w:val="2"/>
        <w:spacing w:before="275" w:line="220" w:lineRule="auto"/>
        <w:ind w:left="785"/>
        <w:rPr>
          <w:rFonts w:hint="eastAsia"/>
          <w:spacing w:val="3"/>
          <w:sz w:val="28"/>
          <w:szCs w:val="28"/>
          <w:lang w:eastAsia="zh-CN"/>
        </w:rPr>
      </w:pPr>
      <w:r>
        <w:rPr>
          <w:rFonts w:hint="eastAsia"/>
          <w:spacing w:val="3"/>
          <w:sz w:val="28"/>
          <w:szCs w:val="28"/>
          <w:lang w:eastAsia="zh-CN"/>
        </w:rPr>
        <w:t>无</w:t>
      </w:r>
    </w:p>
    <w:p>
      <w:pPr>
        <w:spacing w:before="265" w:line="224" w:lineRule="auto"/>
        <w:ind w:left="789"/>
        <w:outlineLvl w:val="0"/>
        <w:rPr>
          <w:rFonts w:ascii="黑体" w:hAnsi="黑体" w:eastAsia="黑体" w:cs="黑体"/>
          <w:sz w:val="28"/>
          <w:szCs w:val="28"/>
        </w:rPr>
      </w:pPr>
      <w:r>
        <w:rPr>
          <w:rFonts w:ascii="黑体" w:hAnsi="黑体" w:eastAsia="黑体" w:cs="黑体"/>
          <w:b/>
          <w:bCs/>
          <w:spacing w:val="3"/>
          <w:sz w:val="28"/>
          <w:szCs w:val="28"/>
        </w:rPr>
        <w:t>八、附件</w:t>
      </w:r>
    </w:p>
    <w:p>
      <w:pPr>
        <w:pStyle w:val="2"/>
        <w:spacing w:before="252" w:line="219" w:lineRule="auto"/>
        <w:ind w:left="785"/>
        <w:rPr>
          <w:sz w:val="28"/>
          <w:szCs w:val="28"/>
        </w:rPr>
      </w:pPr>
      <w:r>
        <w:rPr>
          <w:spacing w:val="6"/>
          <w:sz w:val="28"/>
          <w:szCs w:val="28"/>
        </w:rPr>
        <w:t>转移支付整体绩效自评表</w:t>
      </w:r>
    </w:p>
    <w:p>
      <w:pPr>
        <w:spacing w:line="219" w:lineRule="auto"/>
        <w:rPr>
          <w:sz w:val="28"/>
          <w:szCs w:val="28"/>
        </w:rPr>
        <w:sectPr>
          <w:footerReference r:id="rId5" w:type="default"/>
          <w:pgSz w:w="11900" w:h="16840"/>
          <w:pgMar w:top="2098" w:right="1474" w:bottom="1984" w:left="1587" w:header="0" w:footer="1206" w:gutter="0"/>
          <w:pgBorders>
            <w:top w:val="none" w:sz="0" w:space="0"/>
            <w:left w:val="none" w:sz="0" w:space="0"/>
            <w:bottom w:val="none" w:sz="0" w:space="0"/>
            <w:right w:val="none" w:sz="0" w:space="0"/>
          </w:pgBorders>
          <w:cols w:space="720" w:num="1"/>
        </w:sectPr>
      </w:pPr>
    </w:p>
    <w:p>
      <w:pPr>
        <w:spacing w:before="45" w:line="224" w:lineRule="auto"/>
        <w:ind w:left="20"/>
        <w:rPr>
          <w:rFonts w:ascii="黑体" w:hAnsi="黑体" w:eastAsia="黑体" w:cs="黑体"/>
          <w:sz w:val="22"/>
          <w:szCs w:val="22"/>
        </w:rPr>
      </w:pPr>
      <w:r>
        <w:rPr>
          <w:rFonts w:ascii="黑体" w:hAnsi="黑体" w:eastAsia="黑体" w:cs="黑体"/>
          <w:spacing w:val="-6"/>
          <w:sz w:val="22"/>
          <w:szCs w:val="22"/>
        </w:rPr>
        <w:t>附件4</w:t>
      </w:r>
    </w:p>
    <w:p>
      <w:pPr>
        <w:spacing w:before="77" w:line="219" w:lineRule="auto"/>
        <w:jc w:val="center"/>
        <w:rPr>
          <w:rFonts w:ascii="宋体" w:hAnsi="宋体" w:eastAsia="宋体" w:cs="宋体"/>
          <w:sz w:val="25"/>
          <w:szCs w:val="25"/>
        </w:rPr>
      </w:pPr>
      <w:r>
        <w:rPr>
          <w:rFonts w:hint="eastAsia" w:ascii="宋体" w:hAnsi="宋体" w:eastAsia="宋体" w:cs="宋体"/>
          <w:b/>
          <w:bCs/>
          <w:spacing w:val="-13"/>
          <w:sz w:val="25"/>
          <w:szCs w:val="25"/>
          <w:lang w:val="en-US" w:eastAsia="zh-Hans"/>
        </w:rPr>
        <w:t>2023年临河区城市燃气管道等老化更新改造项目</w:t>
      </w:r>
      <w:r>
        <w:rPr>
          <w:rFonts w:ascii="宋体" w:hAnsi="宋体" w:eastAsia="宋体" w:cs="宋体"/>
          <w:b/>
          <w:bCs/>
          <w:spacing w:val="-13"/>
          <w:sz w:val="25"/>
          <w:szCs w:val="25"/>
        </w:rPr>
        <w:t>转移支付整体绩效自评表</w:t>
      </w:r>
    </w:p>
    <w:p>
      <w:pPr>
        <w:spacing w:before="77" w:line="219" w:lineRule="auto"/>
        <w:jc w:val="center"/>
        <w:rPr>
          <w:rFonts w:hint="eastAsia" w:ascii="宋体" w:hAnsi="宋体" w:eastAsia="宋体" w:cs="宋体"/>
          <w:b/>
          <w:bCs/>
          <w:spacing w:val="-13"/>
          <w:sz w:val="25"/>
          <w:szCs w:val="25"/>
          <w:lang w:val="en-US" w:eastAsia="zh-Hans"/>
        </w:rPr>
      </w:pPr>
      <w:r>
        <w:rPr>
          <w:rFonts w:hint="eastAsia" w:ascii="宋体" w:hAnsi="宋体" w:eastAsia="宋体" w:cs="宋体"/>
          <w:b/>
          <w:bCs/>
          <w:spacing w:val="-13"/>
          <w:sz w:val="25"/>
          <w:szCs w:val="25"/>
          <w:lang w:val="en-US" w:eastAsia="zh-Hans"/>
        </w:rPr>
        <w:t>(2023年度)</w:t>
      </w:r>
    </w:p>
    <w:p>
      <w:pPr>
        <w:spacing w:line="18" w:lineRule="exact"/>
      </w:pPr>
    </w:p>
    <w:tbl>
      <w:tblPr>
        <w:tblStyle w:val="7"/>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0"/>
        <w:gridCol w:w="896"/>
        <w:gridCol w:w="1641"/>
        <w:gridCol w:w="899"/>
        <w:gridCol w:w="909"/>
        <w:gridCol w:w="909"/>
        <w:gridCol w:w="569"/>
        <w:gridCol w:w="518"/>
        <w:gridCol w:w="591"/>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1650" w:type="dxa"/>
            <w:gridSpan w:val="3"/>
            <w:vAlign w:val="top"/>
          </w:tcPr>
          <w:p>
            <w:pPr>
              <w:spacing w:before="51" w:line="219" w:lineRule="auto"/>
              <w:ind w:left="284"/>
              <w:rPr>
                <w:rFonts w:ascii="宋体" w:hAnsi="宋体" w:eastAsia="宋体" w:cs="宋体"/>
                <w:sz w:val="16"/>
                <w:szCs w:val="16"/>
              </w:rPr>
            </w:pPr>
            <w:r>
              <w:rPr>
                <w:rFonts w:ascii="宋体" w:hAnsi="宋体" w:eastAsia="宋体" w:cs="宋体"/>
                <w:spacing w:val="-1"/>
                <w:sz w:val="16"/>
                <w:szCs w:val="16"/>
              </w:rPr>
              <w:t>转移支付名称</w:t>
            </w:r>
          </w:p>
        </w:tc>
        <w:tc>
          <w:tcPr>
            <w:tcW w:w="7559" w:type="dxa"/>
            <w:gridSpan w:val="8"/>
            <w:vAlign w:val="top"/>
          </w:tcPr>
          <w:p>
            <w:pPr>
              <w:pStyle w:val="8"/>
              <w:jc w:val="center"/>
              <w:rPr>
                <w:sz w:val="21"/>
              </w:rPr>
            </w:pPr>
            <w:r>
              <w:rPr>
                <w:rFonts w:hint="eastAsia"/>
                <w:sz w:val="21"/>
                <w:lang w:val="en-US" w:eastAsia="zh-Hans"/>
              </w:rPr>
              <w:t>2023年临河区城市燃气管道等老化更新改造项目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650" w:type="dxa"/>
            <w:gridSpan w:val="3"/>
            <w:vAlign w:val="top"/>
          </w:tcPr>
          <w:p>
            <w:pPr>
              <w:spacing w:before="47" w:line="219" w:lineRule="auto"/>
              <w:ind w:left="284"/>
              <w:rPr>
                <w:rFonts w:ascii="宋体" w:hAnsi="宋体" w:eastAsia="宋体" w:cs="宋体"/>
                <w:sz w:val="16"/>
                <w:szCs w:val="16"/>
              </w:rPr>
            </w:pPr>
            <w:r>
              <w:rPr>
                <w:rFonts w:ascii="宋体" w:hAnsi="宋体" w:eastAsia="宋体" w:cs="宋体"/>
                <w:spacing w:val="3"/>
                <w:sz w:val="16"/>
                <w:szCs w:val="16"/>
              </w:rPr>
              <w:t>中央主管部门</w:t>
            </w:r>
          </w:p>
        </w:tc>
        <w:tc>
          <w:tcPr>
            <w:tcW w:w="7559" w:type="dxa"/>
            <w:gridSpan w:val="8"/>
            <w:vAlign w:val="top"/>
          </w:tcPr>
          <w:p>
            <w:pPr>
              <w:pStyle w:val="8"/>
              <w:spacing w:line="239" w:lineRule="exact"/>
              <w:jc w:val="center"/>
              <w:rPr>
                <w:rFonts w:hint="eastAsia" w:eastAsia="宋体"/>
                <w:sz w:val="20"/>
                <w:lang w:eastAsia="zh-CN"/>
              </w:rPr>
            </w:pPr>
            <w:r>
              <w:rPr>
                <w:rFonts w:hint="eastAsia" w:eastAsia="宋体"/>
                <w:sz w:val="20"/>
                <w:lang w:eastAsia="zh-CN"/>
              </w:rPr>
              <w:t>住房和城乡建设部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jc w:val="center"/>
        </w:trPr>
        <w:tc>
          <w:tcPr>
            <w:tcW w:w="1650" w:type="dxa"/>
            <w:gridSpan w:val="3"/>
            <w:vMerge w:val="restart"/>
            <w:tcBorders>
              <w:bottom w:val="nil"/>
            </w:tcBorders>
            <w:vAlign w:val="top"/>
          </w:tcPr>
          <w:p>
            <w:pPr>
              <w:pStyle w:val="8"/>
              <w:spacing w:line="374" w:lineRule="auto"/>
              <w:rPr>
                <w:sz w:val="21"/>
              </w:rPr>
            </w:pPr>
          </w:p>
          <w:p>
            <w:pPr>
              <w:spacing w:before="52" w:line="220" w:lineRule="auto"/>
              <w:ind w:left="284"/>
              <w:rPr>
                <w:rFonts w:ascii="宋体" w:hAnsi="宋体" w:eastAsia="宋体" w:cs="宋体"/>
                <w:sz w:val="16"/>
                <w:szCs w:val="16"/>
              </w:rPr>
            </w:pPr>
            <w:r>
              <w:rPr>
                <w:rFonts w:ascii="宋体" w:hAnsi="宋体" w:eastAsia="宋体" w:cs="宋体"/>
                <w:spacing w:val="1"/>
                <w:sz w:val="16"/>
                <w:szCs w:val="16"/>
              </w:rPr>
              <w:t>资金投入情况</w:t>
            </w:r>
          </w:p>
          <w:p>
            <w:pPr>
              <w:spacing w:before="29" w:line="220" w:lineRule="auto"/>
              <w:ind w:left="524"/>
              <w:rPr>
                <w:rFonts w:ascii="宋体" w:hAnsi="宋体" w:eastAsia="宋体" w:cs="宋体"/>
                <w:sz w:val="16"/>
                <w:szCs w:val="16"/>
              </w:rPr>
            </w:pPr>
            <w:r>
              <w:rPr>
                <w:rFonts w:ascii="宋体" w:hAnsi="宋体" w:eastAsia="宋体" w:cs="宋体"/>
                <w:spacing w:val="8"/>
                <w:sz w:val="16"/>
                <w:szCs w:val="16"/>
              </w:rPr>
              <w:t>(万元)</w:t>
            </w:r>
          </w:p>
        </w:tc>
        <w:tc>
          <w:tcPr>
            <w:tcW w:w="1641" w:type="dxa"/>
            <w:vAlign w:val="top"/>
          </w:tcPr>
          <w:p>
            <w:pPr>
              <w:pStyle w:val="8"/>
              <w:rPr>
                <w:sz w:val="21"/>
              </w:rPr>
            </w:pPr>
          </w:p>
        </w:tc>
        <w:tc>
          <w:tcPr>
            <w:tcW w:w="899" w:type="dxa"/>
            <w:vAlign w:val="top"/>
          </w:tcPr>
          <w:p>
            <w:pPr>
              <w:spacing w:before="148" w:line="219" w:lineRule="auto"/>
              <w:ind w:left="73"/>
              <w:rPr>
                <w:rFonts w:ascii="宋体" w:hAnsi="宋体" w:eastAsia="宋体" w:cs="宋体"/>
                <w:sz w:val="16"/>
                <w:szCs w:val="16"/>
              </w:rPr>
            </w:pPr>
            <w:r>
              <w:rPr>
                <w:rFonts w:ascii="宋体" w:hAnsi="宋体" w:eastAsia="宋体" w:cs="宋体"/>
                <w:spacing w:val="-2"/>
                <w:sz w:val="16"/>
                <w:szCs w:val="16"/>
              </w:rPr>
              <w:t>年初预算数</w:t>
            </w:r>
          </w:p>
        </w:tc>
        <w:tc>
          <w:tcPr>
            <w:tcW w:w="909" w:type="dxa"/>
            <w:vAlign w:val="top"/>
          </w:tcPr>
          <w:p>
            <w:pPr>
              <w:spacing w:before="38" w:line="219" w:lineRule="auto"/>
              <w:ind w:left="44"/>
              <w:rPr>
                <w:rFonts w:ascii="宋体" w:hAnsi="宋体" w:eastAsia="宋体" w:cs="宋体"/>
                <w:sz w:val="16"/>
                <w:szCs w:val="16"/>
              </w:rPr>
            </w:pPr>
            <w:r>
              <w:rPr>
                <w:rFonts w:ascii="宋体" w:hAnsi="宋体" w:eastAsia="宋体" w:cs="宋体"/>
                <w:spacing w:val="-1"/>
                <w:sz w:val="16"/>
                <w:szCs w:val="16"/>
              </w:rPr>
              <w:t>全年预算数</w:t>
            </w:r>
          </w:p>
          <w:p>
            <w:pPr>
              <w:spacing w:before="22" w:line="217" w:lineRule="auto"/>
              <w:ind w:left="324"/>
              <w:rPr>
                <w:rFonts w:ascii="宋体" w:hAnsi="宋体" w:eastAsia="宋体" w:cs="宋体"/>
                <w:sz w:val="16"/>
                <w:szCs w:val="16"/>
              </w:rPr>
            </w:pPr>
            <w:r>
              <w:rPr>
                <w:rFonts w:ascii="宋体" w:hAnsi="宋体" w:eastAsia="宋体" w:cs="宋体"/>
                <w:spacing w:val="-8"/>
                <w:sz w:val="16"/>
                <w:szCs w:val="16"/>
              </w:rPr>
              <w:t>(A)</w:t>
            </w:r>
          </w:p>
        </w:tc>
        <w:tc>
          <w:tcPr>
            <w:tcW w:w="909" w:type="dxa"/>
            <w:vAlign w:val="top"/>
          </w:tcPr>
          <w:p>
            <w:pPr>
              <w:spacing w:before="38" w:line="219" w:lineRule="auto"/>
              <w:ind w:left="45"/>
              <w:rPr>
                <w:rFonts w:ascii="宋体" w:hAnsi="宋体" w:eastAsia="宋体" w:cs="宋体"/>
                <w:sz w:val="16"/>
                <w:szCs w:val="16"/>
              </w:rPr>
            </w:pPr>
            <w:r>
              <w:rPr>
                <w:rFonts w:ascii="宋体" w:hAnsi="宋体" w:eastAsia="宋体" w:cs="宋体"/>
                <w:spacing w:val="-1"/>
                <w:sz w:val="16"/>
                <w:szCs w:val="16"/>
              </w:rPr>
              <w:t>全年执行数</w:t>
            </w:r>
          </w:p>
          <w:p>
            <w:pPr>
              <w:spacing w:before="22" w:line="217" w:lineRule="auto"/>
              <w:ind w:left="326"/>
              <w:rPr>
                <w:rFonts w:ascii="宋体" w:hAnsi="宋体" w:eastAsia="宋体" w:cs="宋体"/>
                <w:sz w:val="16"/>
                <w:szCs w:val="16"/>
              </w:rPr>
            </w:pPr>
            <w:r>
              <w:rPr>
                <w:rFonts w:ascii="宋体" w:hAnsi="宋体" w:eastAsia="宋体" w:cs="宋体"/>
                <w:spacing w:val="-8"/>
                <w:sz w:val="16"/>
                <w:szCs w:val="16"/>
              </w:rPr>
              <w:t>(B)</w:t>
            </w:r>
          </w:p>
        </w:tc>
        <w:tc>
          <w:tcPr>
            <w:tcW w:w="569" w:type="dxa"/>
            <w:vAlign w:val="top"/>
          </w:tcPr>
          <w:p>
            <w:pPr>
              <w:spacing w:before="148" w:line="219" w:lineRule="auto"/>
              <w:ind w:left="116"/>
              <w:rPr>
                <w:rFonts w:ascii="宋体" w:hAnsi="宋体" w:eastAsia="宋体" w:cs="宋体"/>
                <w:sz w:val="16"/>
                <w:szCs w:val="16"/>
              </w:rPr>
            </w:pPr>
            <w:r>
              <w:rPr>
                <w:rFonts w:ascii="宋体" w:hAnsi="宋体" w:eastAsia="宋体" w:cs="宋体"/>
                <w:spacing w:val="-3"/>
                <w:sz w:val="16"/>
                <w:szCs w:val="16"/>
              </w:rPr>
              <w:t>分值</w:t>
            </w:r>
          </w:p>
        </w:tc>
        <w:tc>
          <w:tcPr>
            <w:tcW w:w="1109" w:type="dxa"/>
            <w:gridSpan w:val="2"/>
            <w:vAlign w:val="top"/>
          </w:tcPr>
          <w:p>
            <w:pPr>
              <w:spacing w:before="38" w:line="219" w:lineRule="auto"/>
              <w:ind w:left="307"/>
              <w:rPr>
                <w:rFonts w:ascii="宋体" w:hAnsi="宋体" w:eastAsia="宋体" w:cs="宋体"/>
                <w:sz w:val="16"/>
                <w:szCs w:val="16"/>
              </w:rPr>
            </w:pPr>
            <w:r>
              <w:rPr>
                <w:rFonts w:ascii="宋体" w:hAnsi="宋体" w:eastAsia="宋体" w:cs="宋体"/>
                <w:spacing w:val="-2"/>
                <w:sz w:val="16"/>
                <w:szCs w:val="16"/>
              </w:rPr>
              <w:t>执行率</w:t>
            </w:r>
          </w:p>
          <w:p>
            <w:pPr>
              <w:spacing w:before="22" w:line="217" w:lineRule="auto"/>
              <w:ind w:left="107"/>
              <w:rPr>
                <w:rFonts w:ascii="宋体" w:hAnsi="宋体" w:eastAsia="宋体" w:cs="宋体"/>
                <w:sz w:val="16"/>
                <w:szCs w:val="16"/>
              </w:rPr>
            </w:pPr>
            <w:r>
              <w:rPr>
                <w:rFonts w:ascii="宋体" w:hAnsi="宋体" w:eastAsia="宋体" w:cs="宋体"/>
                <w:spacing w:val="-4"/>
                <w:sz w:val="16"/>
                <w:szCs w:val="16"/>
              </w:rPr>
              <w:t>(B/A×100%)</w:t>
            </w:r>
          </w:p>
        </w:tc>
        <w:tc>
          <w:tcPr>
            <w:tcW w:w="1523" w:type="dxa"/>
            <w:vAlign w:val="top"/>
          </w:tcPr>
          <w:p>
            <w:pPr>
              <w:spacing w:before="148" w:line="219" w:lineRule="auto"/>
              <w:ind w:left="598"/>
              <w:rPr>
                <w:rFonts w:ascii="宋体" w:hAnsi="宋体" w:eastAsia="宋体" w:cs="宋体"/>
                <w:sz w:val="16"/>
                <w:szCs w:val="16"/>
              </w:rPr>
            </w:pPr>
            <w:r>
              <w:rPr>
                <w:rFonts w:ascii="宋体" w:hAnsi="宋体" w:eastAsia="宋体" w:cs="宋体"/>
                <w:spacing w:val="-2"/>
                <w:sz w:val="16"/>
                <w:szCs w:val="16"/>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spacing w:before="19" w:line="185" w:lineRule="auto"/>
              <w:ind w:left="11"/>
              <w:jc w:val="center"/>
              <w:rPr>
                <w:rFonts w:ascii="宋体" w:hAnsi="宋体" w:eastAsia="宋体" w:cs="宋体"/>
                <w:sz w:val="16"/>
                <w:szCs w:val="16"/>
              </w:rPr>
            </w:pPr>
            <w:r>
              <w:rPr>
                <w:rFonts w:ascii="宋体" w:hAnsi="宋体" w:eastAsia="宋体" w:cs="宋体"/>
                <w:sz w:val="16"/>
                <w:szCs w:val="16"/>
              </w:rPr>
              <w:t>年度资金总额：</w:t>
            </w:r>
          </w:p>
        </w:tc>
        <w:tc>
          <w:tcPr>
            <w:tcW w:w="899" w:type="dxa"/>
            <w:vAlign w:val="top"/>
          </w:tcPr>
          <w:p>
            <w:pPr>
              <w:pStyle w:val="8"/>
              <w:spacing w:line="180" w:lineRule="exact"/>
              <w:jc w:val="center"/>
              <w:rPr>
                <w:rFonts w:hint="default" w:ascii="宋体" w:hAnsi="宋体" w:eastAsia="宋体" w:cs="宋体"/>
                <w:snapToGrid w:val="0"/>
                <w:color w:val="000000"/>
                <w:kern w:val="0"/>
                <w:sz w:val="16"/>
                <w:szCs w:val="16"/>
                <w:lang w:val="en-US" w:eastAsia="zh-CN" w:bidi="ar-SA"/>
              </w:rPr>
            </w:pPr>
            <w:r>
              <w:rPr>
                <w:rFonts w:hint="eastAsia" w:ascii="宋体" w:hAnsi="宋体" w:eastAsia="宋体" w:cs="宋体"/>
                <w:snapToGrid w:val="0"/>
                <w:color w:val="000000"/>
                <w:kern w:val="0"/>
                <w:sz w:val="16"/>
                <w:szCs w:val="16"/>
                <w:lang w:val="en-US" w:eastAsia="zh-CN" w:bidi="ar-SA"/>
              </w:rPr>
              <w:t>7950</w:t>
            </w:r>
          </w:p>
        </w:tc>
        <w:tc>
          <w:tcPr>
            <w:tcW w:w="909" w:type="dxa"/>
            <w:vAlign w:val="top"/>
          </w:tcPr>
          <w:p>
            <w:pPr>
              <w:pStyle w:val="8"/>
              <w:spacing w:line="180" w:lineRule="exact"/>
              <w:jc w:val="center"/>
              <w:rPr>
                <w:rFonts w:hint="default" w:ascii="宋体" w:hAnsi="宋体" w:eastAsia="宋体" w:cs="宋体"/>
                <w:snapToGrid w:val="0"/>
                <w:color w:val="000000"/>
                <w:kern w:val="0"/>
                <w:sz w:val="16"/>
                <w:szCs w:val="16"/>
                <w:lang w:val="en-US" w:eastAsia="zh-CN" w:bidi="ar-SA"/>
              </w:rPr>
            </w:pPr>
            <w:r>
              <w:rPr>
                <w:rFonts w:hint="eastAsia" w:ascii="宋体" w:hAnsi="宋体" w:eastAsia="宋体" w:cs="宋体"/>
                <w:snapToGrid w:val="0"/>
                <w:color w:val="000000"/>
                <w:kern w:val="0"/>
                <w:sz w:val="16"/>
                <w:szCs w:val="16"/>
                <w:lang w:val="en-US" w:eastAsia="zh-CN" w:bidi="ar-SA"/>
              </w:rPr>
              <w:t>7950</w:t>
            </w:r>
          </w:p>
        </w:tc>
        <w:tc>
          <w:tcPr>
            <w:tcW w:w="909" w:type="dxa"/>
            <w:vAlign w:val="top"/>
          </w:tcPr>
          <w:p>
            <w:pPr>
              <w:pStyle w:val="8"/>
              <w:spacing w:line="180" w:lineRule="exact"/>
              <w:jc w:val="center"/>
              <w:rPr>
                <w:rFonts w:hint="default" w:ascii="宋体" w:hAnsi="宋体" w:eastAsia="宋体" w:cs="宋体"/>
                <w:snapToGrid w:val="0"/>
                <w:color w:val="000000"/>
                <w:kern w:val="0"/>
                <w:sz w:val="16"/>
                <w:szCs w:val="16"/>
                <w:lang w:val="en-US" w:eastAsia="zh-CN" w:bidi="ar-SA"/>
              </w:rPr>
            </w:pPr>
            <w:r>
              <w:rPr>
                <w:rFonts w:hint="eastAsia" w:ascii="宋体" w:hAnsi="宋体" w:eastAsia="宋体" w:cs="宋体"/>
                <w:snapToGrid w:val="0"/>
                <w:color w:val="000000"/>
                <w:kern w:val="0"/>
                <w:sz w:val="16"/>
                <w:szCs w:val="16"/>
                <w:lang w:val="en-US" w:eastAsia="zh-CN" w:bidi="ar-SA"/>
              </w:rPr>
              <w:t>1500</w:t>
            </w:r>
          </w:p>
        </w:tc>
        <w:tc>
          <w:tcPr>
            <w:tcW w:w="569" w:type="dxa"/>
            <w:vAlign w:val="top"/>
          </w:tcPr>
          <w:p>
            <w:pPr>
              <w:spacing w:before="60" w:line="120" w:lineRule="exact"/>
              <w:ind w:left="196"/>
              <w:jc w:val="both"/>
              <w:rPr>
                <w:rFonts w:ascii="宋体" w:hAnsi="宋体" w:eastAsia="宋体" w:cs="宋体"/>
                <w:snapToGrid w:val="0"/>
                <w:color w:val="000000"/>
                <w:kern w:val="0"/>
                <w:sz w:val="16"/>
                <w:szCs w:val="16"/>
                <w:lang w:val="en-US" w:eastAsia="en-US" w:bidi="ar-SA"/>
              </w:rPr>
            </w:pPr>
            <w:r>
              <w:rPr>
                <w:rFonts w:ascii="宋体" w:hAnsi="宋体" w:eastAsia="宋体" w:cs="宋体"/>
                <w:snapToGrid w:val="0"/>
                <w:color w:val="000000"/>
                <w:kern w:val="0"/>
                <w:sz w:val="16"/>
                <w:szCs w:val="16"/>
                <w:lang w:val="en-US" w:eastAsia="en-US" w:bidi="ar-SA"/>
              </w:rPr>
              <w:t>10</w:t>
            </w:r>
          </w:p>
        </w:tc>
        <w:tc>
          <w:tcPr>
            <w:tcW w:w="1109" w:type="dxa"/>
            <w:gridSpan w:val="2"/>
            <w:vAlign w:val="top"/>
          </w:tcPr>
          <w:p>
            <w:pPr>
              <w:pStyle w:val="8"/>
              <w:spacing w:line="180" w:lineRule="exact"/>
              <w:jc w:val="center"/>
              <w:rPr>
                <w:rFonts w:hint="default" w:ascii="宋体" w:hAnsi="宋体" w:eastAsia="宋体" w:cs="宋体"/>
                <w:snapToGrid w:val="0"/>
                <w:color w:val="000000"/>
                <w:kern w:val="0"/>
                <w:sz w:val="16"/>
                <w:szCs w:val="16"/>
                <w:lang w:val="en-US" w:eastAsia="zh-CN" w:bidi="ar-SA"/>
              </w:rPr>
            </w:pPr>
            <w:r>
              <w:rPr>
                <w:rFonts w:hint="eastAsia" w:ascii="宋体" w:hAnsi="宋体" w:eastAsia="宋体" w:cs="宋体"/>
                <w:snapToGrid w:val="0"/>
                <w:color w:val="000000"/>
                <w:kern w:val="0"/>
                <w:sz w:val="16"/>
                <w:szCs w:val="16"/>
                <w:lang w:val="en-US" w:eastAsia="zh-CN" w:bidi="ar-SA"/>
              </w:rPr>
              <w:t>0.19</w:t>
            </w:r>
          </w:p>
        </w:tc>
        <w:tc>
          <w:tcPr>
            <w:tcW w:w="1523" w:type="dxa"/>
            <w:vAlign w:val="top"/>
          </w:tcPr>
          <w:p>
            <w:pPr>
              <w:pStyle w:val="8"/>
              <w:spacing w:line="180" w:lineRule="exact"/>
              <w:jc w:val="center"/>
              <w:rPr>
                <w:rFonts w:hint="default" w:eastAsia="宋体"/>
                <w:lang w:val="en-US" w:eastAsia="zh-CN"/>
              </w:rPr>
            </w:pPr>
            <w:r>
              <w:rPr>
                <w:rFonts w:hint="eastAsia" w:eastAsia="宋体"/>
                <w:lang w:val="en-US" w:eastAsia="zh-CN"/>
              </w:rPr>
              <w:t>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spacing w:before="20" w:line="196" w:lineRule="auto"/>
              <w:ind w:left="11"/>
              <w:jc w:val="center"/>
              <w:rPr>
                <w:rFonts w:ascii="宋体" w:hAnsi="宋体" w:eastAsia="宋体" w:cs="宋体"/>
                <w:sz w:val="16"/>
                <w:szCs w:val="16"/>
              </w:rPr>
            </w:pPr>
            <w:r>
              <w:rPr>
                <w:rFonts w:ascii="宋体" w:hAnsi="宋体" w:eastAsia="宋体" w:cs="宋体"/>
                <w:spacing w:val="-1"/>
                <w:sz w:val="16"/>
                <w:szCs w:val="16"/>
              </w:rPr>
              <w:t>其中：中央财政资金</w:t>
            </w:r>
          </w:p>
        </w:tc>
        <w:tc>
          <w:tcPr>
            <w:tcW w:w="899" w:type="dxa"/>
            <w:vAlign w:val="top"/>
          </w:tcPr>
          <w:p>
            <w:pPr>
              <w:pStyle w:val="8"/>
              <w:spacing w:line="190" w:lineRule="exact"/>
              <w:jc w:val="center"/>
              <w:rPr>
                <w:rFonts w:hint="default" w:eastAsia="宋体"/>
                <w:sz w:val="16"/>
                <w:lang w:val="en-US" w:eastAsia="zh-CN"/>
              </w:rPr>
            </w:pPr>
            <w:r>
              <w:rPr>
                <w:rFonts w:hint="eastAsia" w:eastAsia="宋体"/>
                <w:sz w:val="16"/>
                <w:lang w:val="en-US" w:eastAsia="zh-CN"/>
              </w:rPr>
              <w:t>7950</w:t>
            </w:r>
          </w:p>
        </w:tc>
        <w:tc>
          <w:tcPr>
            <w:tcW w:w="909" w:type="dxa"/>
            <w:vAlign w:val="top"/>
          </w:tcPr>
          <w:p>
            <w:pPr>
              <w:pStyle w:val="8"/>
              <w:spacing w:line="190" w:lineRule="exact"/>
              <w:jc w:val="center"/>
              <w:rPr>
                <w:rFonts w:hint="default" w:eastAsia="宋体"/>
                <w:sz w:val="16"/>
                <w:lang w:val="en-US" w:eastAsia="zh-CN"/>
              </w:rPr>
            </w:pPr>
            <w:r>
              <w:rPr>
                <w:rFonts w:hint="eastAsia" w:eastAsia="宋体"/>
                <w:sz w:val="16"/>
                <w:lang w:val="en-US" w:eastAsia="zh-CN"/>
              </w:rPr>
              <w:t>7950</w:t>
            </w:r>
          </w:p>
        </w:tc>
        <w:tc>
          <w:tcPr>
            <w:tcW w:w="909" w:type="dxa"/>
            <w:vAlign w:val="top"/>
          </w:tcPr>
          <w:p>
            <w:pPr>
              <w:pStyle w:val="8"/>
              <w:spacing w:line="190" w:lineRule="exact"/>
              <w:jc w:val="center"/>
              <w:rPr>
                <w:rFonts w:hint="default" w:eastAsia="宋体"/>
                <w:sz w:val="16"/>
                <w:lang w:val="en-US" w:eastAsia="zh-CN"/>
              </w:rPr>
            </w:pPr>
            <w:r>
              <w:rPr>
                <w:rFonts w:hint="eastAsia" w:eastAsia="宋体"/>
                <w:sz w:val="16"/>
                <w:lang w:val="en-US" w:eastAsia="zh-CN"/>
              </w:rPr>
              <w:t>1500</w:t>
            </w:r>
          </w:p>
        </w:tc>
        <w:tc>
          <w:tcPr>
            <w:tcW w:w="569" w:type="dxa"/>
            <w:vAlign w:val="top"/>
          </w:tcPr>
          <w:p>
            <w:pPr>
              <w:pStyle w:val="8"/>
              <w:spacing w:line="190" w:lineRule="exact"/>
              <w:jc w:val="center"/>
              <w:rPr>
                <w:rFonts w:hint="default" w:eastAsia="宋体"/>
                <w:sz w:val="16"/>
                <w:lang w:val="en-US" w:eastAsia="zh-CN"/>
              </w:rPr>
            </w:pPr>
            <w:r>
              <w:rPr>
                <w:rFonts w:hint="eastAsia" w:eastAsia="宋体"/>
                <w:sz w:val="16"/>
                <w:lang w:val="en-US" w:eastAsia="zh-CN"/>
              </w:rPr>
              <w:t>——</w:t>
            </w:r>
          </w:p>
        </w:tc>
        <w:tc>
          <w:tcPr>
            <w:tcW w:w="1109" w:type="dxa"/>
            <w:gridSpan w:val="2"/>
            <w:vAlign w:val="top"/>
          </w:tcPr>
          <w:p>
            <w:pPr>
              <w:pStyle w:val="8"/>
              <w:spacing w:line="190" w:lineRule="exact"/>
              <w:jc w:val="center"/>
              <w:rPr>
                <w:rFonts w:hint="default" w:eastAsia="宋体"/>
                <w:sz w:val="16"/>
                <w:lang w:val="en-US" w:eastAsia="zh-CN"/>
              </w:rPr>
            </w:pPr>
            <w:r>
              <w:rPr>
                <w:rFonts w:hint="eastAsia" w:eastAsia="宋体"/>
                <w:sz w:val="16"/>
                <w:lang w:val="en-US" w:eastAsia="zh-CN"/>
              </w:rPr>
              <w:t>0.19</w:t>
            </w:r>
          </w:p>
        </w:tc>
        <w:tc>
          <w:tcPr>
            <w:tcW w:w="1523" w:type="dxa"/>
            <w:vAlign w:val="top"/>
          </w:tcPr>
          <w:p>
            <w:pPr>
              <w:pStyle w:val="8"/>
              <w:spacing w:line="190" w:lineRule="exact"/>
              <w:jc w:val="center"/>
              <w:rPr>
                <w:rFonts w:hint="default" w:eastAsia="宋体"/>
                <w:sz w:val="16"/>
                <w:lang w:val="en-US" w:eastAsia="zh-CN"/>
              </w:rPr>
            </w:pPr>
            <w:r>
              <w:rPr>
                <w:rFonts w:hint="eastAsia" w:eastAsia="宋体"/>
                <w:sz w:val="16"/>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spacing w:before="20" w:line="184" w:lineRule="auto"/>
              <w:ind w:left="471"/>
              <w:jc w:val="center"/>
              <w:rPr>
                <w:rFonts w:ascii="宋体" w:hAnsi="宋体" w:eastAsia="宋体" w:cs="宋体"/>
                <w:sz w:val="16"/>
                <w:szCs w:val="16"/>
              </w:rPr>
            </w:pPr>
            <w:r>
              <w:rPr>
                <w:rFonts w:ascii="宋体" w:hAnsi="宋体" w:eastAsia="宋体" w:cs="宋体"/>
                <w:spacing w:val="-1"/>
                <w:sz w:val="16"/>
                <w:szCs w:val="16"/>
              </w:rPr>
              <w:t>地方财政资金</w:t>
            </w:r>
          </w:p>
        </w:tc>
        <w:tc>
          <w:tcPr>
            <w:tcW w:w="899" w:type="dxa"/>
            <w:vAlign w:val="top"/>
          </w:tcPr>
          <w:p>
            <w:pPr>
              <w:pStyle w:val="8"/>
              <w:spacing w:line="180" w:lineRule="exact"/>
              <w:jc w:val="center"/>
            </w:pPr>
          </w:p>
        </w:tc>
        <w:tc>
          <w:tcPr>
            <w:tcW w:w="909" w:type="dxa"/>
            <w:vAlign w:val="top"/>
          </w:tcPr>
          <w:p>
            <w:pPr>
              <w:pStyle w:val="8"/>
              <w:spacing w:line="180" w:lineRule="exact"/>
              <w:jc w:val="center"/>
            </w:pPr>
          </w:p>
        </w:tc>
        <w:tc>
          <w:tcPr>
            <w:tcW w:w="909" w:type="dxa"/>
            <w:vAlign w:val="top"/>
          </w:tcPr>
          <w:p>
            <w:pPr>
              <w:pStyle w:val="8"/>
              <w:spacing w:line="180" w:lineRule="exact"/>
              <w:jc w:val="center"/>
            </w:pPr>
          </w:p>
        </w:tc>
        <w:tc>
          <w:tcPr>
            <w:tcW w:w="569" w:type="dxa"/>
            <w:vAlign w:val="top"/>
          </w:tcPr>
          <w:p>
            <w:pPr>
              <w:pStyle w:val="8"/>
              <w:spacing w:line="180" w:lineRule="exact"/>
              <w:jc w:val="center"/>
            </w:pPr>
          </w:p>
        </w:tc>
        <w:tc>
          <w:tcPr>
            <w:tcW w:w="1109" w:type="dxa"/>
            <w:gridSpan w:val="2"/>
            <w:vAlign w:val="top"/>
          </w:tcPr>
          <w:p>
            <w:pPr>
              <w:pStyle w:val="8"/>
              <w:spacing w:line="180" w:lineRule="exact"/>
              <w:jc w:val="center"/>
            </w:pPr>
          </w:p>
        </w:tc>
        <w:tc>
          <w:tcPr>
            <w:tcW w:w="1523" w:type="dxa"/>
            <w:vAlign w:val="top"/>
          </w:tcPr>
          <w:p>
            <w:pPr>
              <w:spacing w:before="129" w:line="41" w:lineRule="exact"/>
              <w:ind w:left="728"/>
              <w:jc w:val="center"/>
              <w:rPr>
                <w:rFonts w:ascii="宋体" w:hAnsi="宋体" w:eastAsia="宋体" w:cs="宋体"/>
                <w:sz w:val="6"/>
                <w:szCs w:val="6"/>
              </w:rPr>
            </w:pPr>
            <w:r>
              <w:rPr>
                <w:rFonts w:ascii="宋体" w:hAnsi="宋体" w:eastAsia="宋体" w:cs="宋体"/>
                <w:position w:val="-1"/>
                <w:sz w:val="6"/>
                <w:szCs w:val="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1650" w:type="dxa"/>
            <w:gridSpan w:val="3"/>
            <w:vMerge w:val="continue"/>
            <w:tcBorders>
              <w:top w:val="nil"/>
            </w:tcBorders>
            <w:vAlign w:val="top"/>
          </w:tcPr>
          <w:p>
            <w:pPr>
              <w:pStyle w:val="8"/>
              <w:rPr>
                <w:sz w:val="21"/>
              </w:rPr>
            </w:pPr>
          </w:p>
        </w:tc>
        <w:tc>
          <w:tcPr>
            <w:tcW w:w="1641" w:type="dxa"/>
            <w:vAlign w:val="top"/>
          </w:tcPr>
          <w:p>
            <w:pPr>
              <w:spacing w:before="20" w:line="184" w:lineRule="auto"/>
              <w:ind w:left="461"/>
              <w:jc w:val="center"/>
              <w:rPr>
                <w:rFonts w:ascii="宋体" w:hAnsi="宋体" w:eastAsia="宋体" w:cs="宋体"/>
                <w:sz w:val="16"/>
                <w:szCs w:val="16"/>
              </w:rPr>
            </w:pPr>
            <w:r>
              <w:rPr>
                <w:rFonts w:ascii="宋体" w:hAnsi="宋体" w:eastAsia="宋体" w:cs="宋体"/>
                <w:spacing w:val="-2"/>
                <w:sz w:val="16"/>
                <w:szCs w:val="16"/>
              </w:rPr>
              <w:t>其他资金</w:t>
            </w:r>
          </w:p>
        </w:tc>
        <w:tc>
          <w:tcPr>
            <w:tcW w:w="899" w:type="dxa"/>
            <w:vAlign w:val="top"/>
          </w:tcPr>
          <w:p>
            <w:pPr>
              <w:pStyle w:val="8"/>
              <w:spacing w:line="180" w:lineRule="exact"/>
              <w:jc w:val="center"/>
            </w:pPr>
          </w:p>
        </w:tc>
        <w:tc>
          <w:tcPr>
            <w:tcW w:w="909" w:type="dxa"/>
            <w:vAlign w:val="top"/>
          </w:tcPr>
          <w:p>
            <w:pPr>
              <w:pStyle w:val="8"/>
              <w:spacing w:line="180" w:lineRule="exact"/>
              <w:jc w:val="center"/>
            </w:pPr>
          </w:p>
        </w:tc>
        <w:tc>
          <w:tcPr>
            <w:tcW w:w="909" w:type="dxa"/>
            <w:vAlign w:val="top"/>
          </w:tcPr>
          <w:p>
            <w:pPr>
              <w:pStyle w:val="8"/>
              <w:spacing w:line="180" w:lineRule="exact"/>
              <w:jc w:val="center"/>
            </w:pPr>
          </w:p>
        </w:tc>
        <w:tc>
          <w:tcPr>
            <w:tcW w:w="569" w:type="dxa"/>
            <w:vAlign w:val="top"/>
          </w:tcPr>
          <w:p>
            <w:pPr>
              <w:pStyle w:val="8"/>
              <w:spacing w:line="180" w:lineRule="exact"/>
              <w:jc w:val="center"/>
            </w:pPr>
          </w:p>
        </w:tc>
        <w:tc>
          <w:tcPr>
            <w:tcW w:w="1109" w:type="dxa"/>
            <w:gridSpan w:val="2"/>
            <w:vAlign w:val="top"/>
          </w:tcPr>
          <w:p>
            <w:pPr>
              <w:pStyle w:val="8"/>
              <w:spacing w:line="180" w:lineRule="exact"/>
              <w:jc w:val="center"/>
            </w:pPr>
          </w:p>
        </w:tc>
        <w:tc>
          <w:tcPr>
            <w:tcW w:w="1523" w:type="dxa"/>
            <w:vAlign w:val="top"/>
          </w:tcPr>
          <w:p>
            <w:pPr>
              <w:pStyle w:val="8"/>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1650" w:type="dxa"/>
            <w:gridSpan w:val="3"/>
            <w:vMerge w:val="restart"/>
            <w:tcBorders>
              <w:bottom w:val="nil"/>
            </w:tcBorders>
            <w:vAlign w:val="top"/>
          </w:tcPr>
          <w:p>
            <w:pPr>
              <w:pStyle w:val="8"/>
              <w:spacing w:line="290" w:lineRule="auto"/>
              <w:rPr>
                <w:sz w:val="21"/>
              </w:rPr>
            </w:pPr>
          </w:p>
          <w:p>
            <w:pPr>
              <w:pStyle w:val="8"/>
              <w:spacing w:line="291" w:lineRule="auto"/>
              <w:rPr>
                <w:sz w:val="21"/>
              </w:rPr>
            </w:pPr>
          </w:p>
          <w:p>
            <w:pPr>
              <w:pStyle w:val="8"/>
              <w:spacing w:line="291" w:lineRule="auto"/>
              <w:rPr>
                <w:sz w:val="21"/>
              </w:rPr>
            </w:pPr>
          </w:p>
          <w:p>
            <w:pPr>
              <w:spacing w:before="52" w:line="219" w:lineRule="auto"/>
              <w:ind w:left="284"/>
              <w:rPr>
                <w:rFonts w:ascii="宋体" w:hAnsi="宋体" w:eastAsia="宋体" w:cs="宋体"/>
                <w:sz w:val="16"/>
                <w:szCs w:val="16"/>
              </w:rPr>
            </w:pPr>
            <w:r>
              <w:rPr>
                <w:rFonts w:ascii="宋体" w:hAnsi="宋体" w:eastAsia="宋体" w:cs="宋体"/>
                <w:spacing w:val="1"/>
                <w:sz w:val="16"/>
                <w:szCs w:val="16"/>
              </w:rPr>
              <w:t>资金管理情况</w:t>
            </w:r>
          </w:p>
        </w:tc>
        <w:tc>
          <w:tcPr>
            <w:tcW w:w="1641" w:type="dxa"/>
            <w:vAlign w:val="top"/>
          </w:tcPr>
          <w:p>
            <w:pPr>
              <w:pStyle w:val="8"/>
              <w:rPr>
                <w:sz w:val="21"/>
              </w:rPr>
            </w:pPr>
          </w:p>
        </w:tc>
        <w:tc>
          <w:tcPr>
            <w:tcW w:w="2717" w:type="dxa"/>
            <w:gridSpan w:val="3"/>
            <w:vAlign w:val="top"/>
          </w:tcPr>
          <w:p>
            <w:pPr>
              <w:spacing w:before="119" w:line="219" w:lineRule="auto"/>
              <w:ind w:left="1053"/>
              <w:rPr>
                <w:rFonts w:ascii="宋体" w:hAnsi="宋体" w:eastAsia="宋体" w:cs="宋体"/>
                <w:sz w:val="16"/>
                <w:szCs w:val="16"/>
              </w:rPr>
            </w:pPr>
            <w:r>
              <w:rPr>
                <w:rFonts w:ascii="宋体" w:hAnsi="宋体" w:eastAsia="宋体" w:cs="宋体"/>
                <w:spacing w:val="4"/>
                <w:sz w:val="16"/>
                <w:szCs w:val="16"/>
              </w:rPr>
              <w:t>情况说明</w:t>
            </w:r>
          </w:p>
        </w:tc>
        <w:tc>
          <w:tcPr>
            <w:tcW w:w="569" w:type="dxa"/>
            <w:vAlign w:val="top"/>
          </w:tcPr>
          <w:p>
            <w:pPr>
              <w:spacing w:before="9" w:line="199" w:lineRule="auto"/>
              <w:ind w:left="116"/>
              <w:rPr>
                <w:rFonts w:ascii="宋体" w:hAnsi="宋体" w:eastAsia="宋体" w:cs="宋体"/>
                <w:sz w:val="16"/>
                <w:szCs w:val="16"/>
              </w:rPr>
            </w:pPr>
            <w:r>
              <w:rPr>
                <w:rFonts w:ascii="宋体" w:hAnsi="宋体" w:eastAsia="宋体" w:cs="宋体"/>
                <w:spacing w:val="-3"/>
                <w:sz w:val="16"/>
                <w:szCs w:val="16"/>
              </w:rPr>
              <w:t>分值</w:t>
            </w:r>
          </w:p>
          <w:p>
            <w:pPr>
              <w:spacing w:line="222" w:lineRule="auto"/>
              <w:ind w:left="126"/>
              <w:rPr>
                <w:rFonts w:ascii="宋体" w:hAnsi="宋体" w:eastAsia="宋体" w:cs="宋体"/>
                <w:sz w:val="16"/>
                <w:szCs w:val="16"/>
              </w:rPr>
            </w:pPr>
            <w:r>
              <w:rPr>
                <w:rFonts w:ascii="宋体" w:hAnsi="宋体" w:eastAsia="宋体" w:cs="宋体"/>
                <w:spacing w:val="-7"/>
                <w:sz w:val="16"/>
                <w:szCs w:val="16"/>
              </w:rPr>
              <w:t>(40)</w:t>
            </w:r>
          </w:p>
        </w:tc>
        <w:tc>
          <w:tcPr>
            <w:tcW w:w="518" w:type="dxa"/>
            <w:vAlign w:val="top"/>
          </w:tcPr>
          <w:p>
            <w:pPr>
              <w:spacing w:before="119" w:line="219" w:lineRule="auto"/>
              <w:ind w:right="5"/>
              <w:jc w:val="right"/>
              <w:rPr>
                <w:rFonts w:ascii="宋体" w:hAnsi="宋体" w:eastAsia="宋体" w:cs="宋体"/>
                <w:sz w:val="16"/>
                <w:szCs w:val="16"/>
              </w:rPr>
            </w:pPr>
            <w:r>
              <w:rPr>
                <w:rFonts w:ascii="宋体" w:hAnsi="宋体" w:eastAsia="宋体" w:cs="宋体"/>
                <w:spacing w:val="-2"/>
                <w:sz w:val="16"/>
                <w:szCs w:val="16"/>
              </w:rPr>
              <w:t>得分</w:t>
            </w:r>
          </w:p>
        </w:tc>
        <w:tc>
          <w:tcPr>
            <w:tcW w:w="2114" w:type="dxa"/>
            <w:gridSpan w:val="2"/>
            <w:vAlign w:val="top"/>
          </w:tcPr>
          <w:p>
            <w:pPr>
              <w:spacing w:before="119" w:line="219" w:lineRule="auto"/>
              <w:ind w:left="368"/>
              <w:rPr>
                <w:rFonts w:ascii="宋体" w:hAnsi="宋体" w:eastAsia="宋体" w:cs="宋体"/>
                <w:sz w:val="16"/>
                <w:szCs w:val="16"/>
              </w:rPr>
            </w:pPr>
            <w:r>
              <w:rPr>
                <w:rFonts w:ascii="宋体" w:hAnsi="宋体" w:eastAsia="宋体" w:cs="宋体"/>
                <w:spacing w:val="-1"/>
                <w:sz w:val="16"/>
                <w:szCs w:val="16"/>
              </w:rP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rPr>
                <w:rFonts w:ascii="宋体" w:hAnsi="宋体" w:eastAsia="宋体" w:cs="宋体"/>
                <w:sz w:val="16"/>
                <w:szCs w:val="16"/>
              </w:rPr>
            </w:pPr>
            <w:r>
              <w:rPr>
                <w:rFonts w:hint="eastAsia" w:ascii="宋体" w:hAnsi="宋体" w:eastAsia="宋体" w:cs="宋体"/>
                <w:sz w:val="16"/>
                <w:szCs w:val="16"/>
              </w:rPr>
              <w:t>分配科学性</w:t>
            </w:r>
          </w:p>
        </w:tc>
        <w:tc>
          <w:tcPr>
            <w:tcW w:w="2717" w:type="dxa"/>
            <w:gridSpan w:val="3"/>
            <w:vAlign w:val="top"/>
          </w:tcPr>
          <w:p>
            <w:pPr>
              <w:rPr>
                <w:sz w:val="14"/>
              </w:rPr>
            </w:pPr>
            <w:r>
              <w:rPr>
                <w:rFonts w:hint="eastAsia" w:ascii="宋体" w:hAnsi="宋体" w:eastAsia="宋体" w:cs="宋体"/>
                <w:sz w:val="16"/>
                <w:szCs w:val="16"/>
                <w:lang w:val="en-US" w:eastAsia="zh-CN"/>
              </w:rPr>
              <w:t>按照项目进度科学分配</w:t>
            </w:r>
          </w:p>
        </w:tc>
        <w:tc>
          <w:tcPr>
            <w:tcW w:w="569" w:type="dxa"/>
            <w:vAlign w:val="top"/>
          </w:tcPr>
          <w:p>
            <w:pPr>
              <w:jc w:val="center"/>
              <w:rPr>
                <w:rFonts w:ascii="宋体" w:hAnsi="宋体" w:eastAsia="宋体" w:cs="宋体"/>
                <w:sz w:val="16"/>
                <w:szCs w:val="16"/>
              </w:rPr>
            </w:pPr>
            <w:r>
              <w:rPr>
                <w:rFonts w:hint="eastAsia" w:ascii="宋体" w:hAnsi="宋体" w:eastAsia="宋体" w:cs="宋体"/>
                <w:sz w:val="16"/>
                <w:szCs w:val="16"/>
              </w:rPr>
              <w:t>5</w:t>
            </w:r>
          </w:p>
        </w:tc>
        <w:tc>
          <w:tcPr>
            <w:tcW w:w="518" w:type="dxa"/>
            <w:vAlign w:val="top"/>
          </w:tcPr>
          <w:p>
            <w:pPr>
              <w:jc w:val="center"/>
              <w:rPr>
                <w:sz w:val="14"/>
              </w:rPr>
            </w:pPr>
            <w:r>
              <w:rPr>
                <w:rFonts w:hint="eastAsia" w:ascii="宋体" w:hAnsi="宋体" w:eastAsia="宋体" w:cs="宋体"/>
                <w:sz w:val="16"/>
                <w:szCs w:val="16"/>
                <w:lang w:val="en-US" w:eastAsia="zh-CN"/>
              </w:rPr>
              <w:t>5</w:t>
            </w:r>
          </w:p>
        </w:tc>
        <w:tc>
          <w:tcPr>
            <w:tcW w:w="2114" w:type="dxa"/>
            <w:gridSpan w:val="2"/>
            <w:vAlign w:val="top"/>
          </w:tcPr>
          <w:p>
            <w:pPr>
              <w:jc w:val="center"/>
              <w:rPr>
                <w:sz w:val="14"/>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rPr>
                <w:rFonts w:ascii="宋体" w:hAnsi="宋体" w:eastAsia="宋体" w:cs="宋体"/>
                <w:sz w:val="16"/>
                <w:szCs w:val="16"/>
              </w:rPr>
            </w:pPr>
            <w:r>
              <w:rPr>
                <w:rFonts w:hint="eastAsia" w:ascii="宋体" w:hAnsi="宋体" w:eastAsia="宋体" w:cs="宋体"/>
                <w:sz w:val="16"/>
                <w:szCs w:val="16"/>
              </w:rPr>
              <w:t>下达及时性</w:t>
            </w:r>
          </w:p>
        </w:tc>
        <w:tc>
          <w:tcPr>
            <w:tcW w:w="2717" w:type="dxa"/>
            <w:gridSpan w:val="3"/>
            <w:vAlign w:val="top"/>
          </w:tcPr>
          <w:p>
            <w:r>
              <w:rPr>
                <w:rFonts w:hint="eastAsia" w:ascii="宋体" w:hAnsi="宋体" w:eastAsia="宋体" w:cs="宋体"/>
                <w:sz w:val="16"/>
                <w:szCs w:val="16"/>
                <w:lang w:val="en-US" w:eastAsia="zh-CN"/>
              </w:rPr>
              <w:t>及时</w:t>
            </w:r>
          </w:p>
        </w:tc>
        <w:tc>
          <w:tcPr>
            <w:tcW w:w="569" w:type="dxa"/>
            <w:vAlign w:val="top"/>
          </w:tcPr>
          <w:p>
            <w:pPr>
              <w:jc w:val="center"/>
              <w:rPr>
                <w:rFonts w:ascii="宋体" w:hAnsi="宋体" w:eastAsia="宋体" w:cs="宋体"/>
                <w:sz w:val="16"/>
                <w:szCs w:val="16"/>
              </w:rPr>
            </w:pPr>
            <w:r>
              <w:rPr>
                <w:rFonts w:hint="eastAsia" w:ascii="宋体" w:hAnsi="宋体" w:eastAsia="宋体" w:cs="宋体"/>
                <w:sz w:val="16"/>
                <w:szCs w:val="16"/>
              </w:rPr>
              <w:t>5</w:t>
            </w:r>
          </w:p>
        </w:tc>
        <w:tc>
          <w:tcPr>
            <w:tcW w:w="518" w:type="dxa"/>
            <w:vAlign w:val="top"/>
          </w:tcPr>
          <w:p>
            <w:pPr>
              <w:jc w:val="center"/>
            </w:pPr>
            <w:r>
              <w:rPr>
                <w:rFonts w:hint="eastAsia" w:ascii="宋体" w:hAnsi="宋体" w:eastAsia="宋体" w:cs="宋体"/>
                <w:sz w:val="16"/>
                <w:szCs w:val="16"/>
                <w:lang w:val="en-US" w:eastAsia="zh-CN"/>
              </w:rPr>
              <w:t>5</w:t>
            </w:r>
          </w:p>
        </w:tc>
        <w:tc>
          <w:tcPr>
            <w:tcW w:w="2114" w:type="dxa"/>
            <w:gridSpan w:val="2"/>
            <w:vAlign w:val="top"/>
          </w:tcPr>
          <w:p>
            <w:pPr>
              <w:jc w:val="cente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rPr>
                <w:rFonts w:ascii="宋体" w:hAnsi="宋体" w:eastAsia="宋体" w:cs="宋体"/>
                <w:sz w:val="16"/>
                <w:szCs w:val="16"/>
              </w:rPr>
            </w:pPr>
            <w:r>
              <w:rPr>
                <w:rFonts w:hint="eastAsia" w:ascii="宋体" w:hAnsi="宋体" w:eastAsia="宋体" w:cs="宋体"/>
                <w:sz w:val="16"/>
                <w:szCs w:val="16"/>
              </w:rPr>
              <w:t>拨付合规性</w:t>
            </w:r>
          </w:p>
        </w:tc>
        <w:tc>
          <w:tcPr>
            <w:tcW w:w="2717" w:type="dxa"/>
            <w:gridSpan w:val="3"/>
            <w:vAlign w:val="top"/>
          </w:tcPr>
          <w:p>
            <w:pPr>
              <w:rPr>
                <w:sz w:val="16"/>
              </w:rPr>
            </w:pPr>
            <w:r>
              <w:rPr>
                <w:rFonts w:hint="eastAsia" w:ascii="宋体" w:hAnsi="宋体" w:eastAsia="宋体" w:cs="宋体"/>
                <w:sz w:val="16"/>
                <w:szCs w:val="16"/>
                <w:lang w:val="en-US" w:eastAsia="zh-CN"/>
              </w:rPr>
              <w:t>拨付流程合规</w:t>
            </w:r>
          </w:p>
        </w:tc>
        <w:tc>
          <w:tcPr>
            <w:tcW w:w="569" w:type="dxa"/>
            <w:vAlign w:val="top"/>
          </w:tcPr>
          <w:p>
            <w:pPr>
              <w:jc w:val="center"/>
              <w:rPr>
                <w:rFonts w:ascii="宋体" w:hAnsi="宋体" w:eastAsia="宋体" w:cs="宋体"/>
                <w:sz w:val="16"/>
                <w:szCs w:val="16"/>
              </w:rPr>
            </w:pPr>
            <w:r>
              <w:rPr>
                <w:rFonts w:hint="eastAsia" w:ascii="宋体" w:hAnsi="宋体" w:eastAsia="宋体" w:cs="宋体"/>
                <w:sz w:val="16"/>
                <w:szCs w:val="16"/>
              </w:rPr>
              <w:t>5</w:t>
            </w:r>
          </w:p>
        </w:tc>
        <w:tc>
          <w:tcPr>
            <w:tcW w:w="518" w:type="dxa"/>
            <w:vAlign w:val="top"/>
          </w:tcPr>
          <w:p>
            <w:pPr>
              <w:jc w:val="center"/>
              <w:rPr>
                <w:sz w:val="16"/>
              </w:rPr>
            </w:pPr>
            <w:r>
              <w:rPr>
                <w:rFonts w:hint="eastAsia" w:ascii="宋体" w:hAnsi="宋体" w:eastAsia="宋体" w:cs="宋体"/>
                <w:sz w:val="16"/>
                <w:szCs w:val="16"/>
                <w:lang w:val="en-US" w:eastAsia="zh-CN"/>
              </w:rPr>
              <w:t>5</w:t>
            </w:r>
          </w:p>
        </w:tc>
        <w:tc>
          <w:tcPr>
            <w:tcW w:w="2114" w:type="dxa"/>
            <w:gridSpan w:val="2"/>
            <w:vAlign w:val="top"/>
          </w:tcPr>
          <w:p>
            <w:pPr>
              <w:jc w:val="center"/>
              <w:rPr>
                <w:sz w:val="16"/>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rPr>
                <w:rFonts w:ascii="宋体" w:hAnsi="宋体" w:eastAsia="宋体" w:cs="宋体"/>
                <w:sz w:val="16"/>
                <w:szCs w:val="16"/>
              </w:rPr>
            </w:pPr>
            <w:r>
              <w:rPr>
                <w:rFonts w:hint="eastAsia" w:ascii="宋体" w:hAnsi="宋体" w:eastAsia="宋体" w:cs="宋体"/>
                <w:sz w:val="16"/>
                <w:szCs w:val="16"/>
              </w:rPr>
              <w:t>使用规范性</w:t>
            </w:r>
          </w:p>
        </w:tc>
        <w:tc>
          <w:tcPr>
            <w:tcW w:w="2717" w:type="dxa"/>
            <w:gridSpan w:val="3"/>
            <w:vAlign w:val="top"/>
          </w:tcPr>
          <w:p>
            <w:r>
              <w:rPr>
                <w:rFonts w:hint="eastAsia" w:ascii="宋体" w:hAnsi="宋体" w:eastAsia="宋体" w:cs="宋体"/>
                <w:sz w:val="16"/>
                <w:szCs w:val="16"/>
                <w:lang w:val="en-US" w:eastAsia="zh-CN"/>
              </w:rPr>
              <w:t>资金使用符合规范</w:t>
            </w:r>
          </w:p>
        </w:tc>
        <w:tc>
          <w:tcPr>
            <w:tcW w:w="569" w:type="dxa"/>
            <w:vAlign w:val="top"/>
          </w:tcPr>
          <w:p>
            <w:pPr>
              <w:jc w:val="center"/>
              <w:rPr>
                <w:rFonts w:ascii="宋体" w:hAnsi="宋体" w:eastAsia="宋体" w:cs="宋体"/>
                <w:sz w:val="16"/>
                <w:szCs w:val="16"/>
              </w:rPr>
            </w:pPr>
            <w:r>
              <w:rPr>
                <w:rFonts w:hint="eastAsia" w:ascii="宋体" w:hAnsi="宋体" w:eastAsia="宋体" w:cs="宋体"/>
                <w:sz w:val="16"/>
                <w:szCs w:val="16"/>
              </w:rPr>
              <w:t>5</w:t>
            </w:r>
          </w:p>
        </w:tc>
        <w:tc>
          <w:tcPr>
            <w:tcW w:w="518" w:type="dxa"/>
            <w:vAlign w:val="top"/>
          </w:tcPr>
          <w:p>
            <w:pPr>
              <w:jc w:val="center"/>
            </w:pPr>
            <w:r>
              <w:rPr>
                <w:rFonts w:hint="eastAsia" w:ascii="宋体" w:hAnsi="宋体" w:eastAsia="宋体" w:cs="宋体"/>
                <w:sz w:val="16"/>
                <w:szCs w:val="16"/>
                <w:lang w:val="en-US" w:eastAsia="zh-CN"/>
              </w:rPr>
              <w:t>5</w:t>
            </w:r>
          </w:p>
        </w:tc>
        <w:tc>
          <w:tcPr>
            <w:tcW w:w="2114" w:type="dxa"/>
            <w:gridSpan w:val="2"/>
            <w:vAlign w:val="top"/>
          </w:tcPr>
          <w:p>
            <w:pPr>
              <w:jc w:val="cente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rPr>
                <w:rFonts w:ascii="宋体" w:hAnsi="宋体" w:eastAsia="宋体" w:cs="宋体"/>
                <w:sz w:val="16"/>
                <w:szCs w:val="16"/>
              </w:rPr>
            </w:pPr>
            <w:r>
              <w:rPr>
                <w:rFonts w:hint="eastAsia" w:ascii="宋体" w:hAnsi="宋体" w:eastAsia="宋体" w:cs="宋体"/>
                <w:sz w:val="16"/>
                <w:szCs w:val="16"/>
              </w:rPr>
              <w:t>执行准确性</w:t>
            </w:r>
          </w:p>
        </w:tc>
        <w:tc>
          <w:tcPr>
            <w:tcW w:w="2717" w:type="dxa"/>
            <w:gridSpan w:val="3"/>
            <w:vAlign w:val="top"/>
          </w:tcPr>
          <w:p>
            <w:pPr>
              <w:rPr>
                <w:sz w:val="16"/>
              </w:rPr>
            </w:pPr>
            <w:r>
              <w:rPr>
                <w:rFonts w:hint="eastAsia" w:ascii="宋体" w:hAnsi="宋体" w:eastAsia="宋体" w:cs="宋体"/>
                <w:sz w:val="16"/>
                <w:szCs w:val="16"/>
                <w:lang w:val="en-US" w:eastAsia="zh-CN"/>
              </w:rPr>
              <w:t>执行准确</w:t>
            </w:r>
          </w:p>
        </w:tc>
        <w:tc>
          <w:tcPr>
            <w:tcW w:w="569" w:type="dxa"/>
            <w:vAlign w:val="top"/>
          </w:tcPr>
          <w:p>
            <w:pPr>
              <w:jc w:val="center"/>
              <w:rPr>
                <w:rFonts w:ascii="宋体" w:hAnsi="宋体" w:eastAsia="宋体" w:cs="宋体"/>
                <w:sz w:val="16"/>
                <w:szCs w:val="16"/>
              </w:rPr>
            </w:pPr>
            <w:r>
              <w:rPr>
                <w:rFonts w:hint="eastAsia" w:ascii="宋体" w:hAnsi="宋体" w:eastAsia="宋体" w:cs="宋体"/>
                <w:sz w:val="16"/>
                <w:szCs w:val="16"/>
              </w:rPr>
              <w:t>5</w:t>
            </w:r>
          </w:p>
        </w:tc>
        <w:tc>
          <w:tcPr>
            <w:tcW w:w="518" w:type="dxa"/>
            <w:vAlign w:val="top"/>
          </w:tcPr>
          <w:p>
            <w:pPr>
              <w:jc w:val="center"/>
              <w:rPr>
                <w:sz w:val="16"/>
              </w:rPr>
            </w:pPr>
            <w:r>
              <w:rPr>
                <w:rFonts w:hint="eastAsia" w:ascii="宋体" w:hAnsi="宋体" w:eastAsia="宋体" w:cs="宋体"/>
                <w:sz w:val="16"/>
                <w:szCs w:val="16"/>
                <w:lang w:val="en-US" w:eastAsia="zh-CN"/>
              </w:rPr>
              <w:t>5</w:t>
            </w:r>
          </w:p>
        </w:tc>
        <w:tc>
          <w:tcPr>
            <w:tcW w:w="2114" w:type="dxa"/>
            <w:gridSpan w:val="2"/>
            <w:vAlign w:val="top"/>
          </w:tcPr>
          <w:p>
            <w:pPr>
              <w:jc w:val="center"/>
              <w:rPr>
                <w:sz w:val="16"/>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rPr>
                <w:rFonts w:ascii="宋体" w:hAnsi="宋体" w:eastAsia="宋体" w:cs="宋体"/>
                <w:sz w:val="16"/>
                <w:szCs w:val="16"/>
              </w:rPr>
            </w:pPr>
            <w:r>
              <w:rPr>
                <w:rFonts w:hint="eastAsia" w:ascii="宋体" w:hAnsi="宋体" w:eastAsia="宋体" w:cs="宋体"/>
                <w:sz w:val="16"/>
                <w:szCs w:val="16"/>
              </w:rPr>
              <w:t>预算绩效管理悄况</w:t>
            </w:r>
          </w:p>
        </w:tc>
        <w:tc>
          <w:tcPr>
            <w:tcW w:w="2717" w:type="dxa"/>
            <w:gridSpan w:val="3"/>
            <w:vAlign w:val="top"/>
          </w:tcPr>
          <w:p>
            <w:r>
              <w:rPr>
                <w:rFonts w:hint="eastAsia" w:ascii="宋体" w:hAnsi="宋体" w:eastAsia="宋体" w:cs="宋体"/>
                <w:sz w:val="16"/>
                <w:szCs w:val="16"/>
                <w:lang w:val="en-US" w:eastAsia="zh-CN"/>
              </w:rPr>
              <w:t>预算绩效管理情况良好</w:t>
            </w:r>
          </w:p>
        </w:tc>
        <w:tc>
          <w:tcPr>
            <w:tcW w:w="569" w:type="dxa"/>
            <w:vAlign w:val="top"/>
          </w:tcPr>
          <w:p>
            <w:pPr>
              <w:jc w:val="center"/>
              <w:rPr>
                <w:rFonts w:ascii="宋体" w:hAnsi="宋体" w:eastAsia="宋体" w:cs="宋体"/>
                <w:sz w:val="16"/>
                <w:szCs w:val="16"/>
              </w:rPr>
            </w:pPr>
            <w:r>
              <w:rPr>
                <w:rFonts w:hint="eastAsia" w:ascii="宋体" w:hAnsi="宋体" w:eastAsia="宋体" w:cs="宋体"/>
                <w:sz w:val="16"/>
                <w:szCs w:val="16"/>
              </w:rPr>
              <w:t>5</w:t>
            </w:r>
          </w:p>
        </w:tc>
        <w:tc>
          <w:tcPr>
            <w:tcW w:w="518" w:type="dxa"/>
            <w:vAlign w:val="top"/>
          </w:tcPr>
          <w:p>
            <w:pPr>
              <w:jc w:val="center"/>
            </w:pPr>
            <w:r>
              <w:rPr>
                <w:rFonts w:hint="eastAsia" w:ascii="宋体" w:hAnsi="宋体" w:eastAsia="宋体" w:cs="宋体"/>
                <w:sz w:val="16"/>
                <w:szCs w:val="16"/>
                <w:lang w:val="en-US" w:eastAsia="zh-CN"/>
              </w:rPr>
              <w:t>5</w:t>
            </w:r>
          </w:p>
        </w:tc>
        <w:tc>
          <w:tcPr>
            <w:tcW w:w="2114" w:type="dxa"/>
            <w:gridSpan w:val="2"/>
            <w:vAlign w:val="top"/>
          </w:tcPr>
          <w:p>
            <w:pPr>
              <w:jc w:val="cente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1650" w:type="dxa"/>
            <w:gridSpan w:val="3"/>
            <w:vMerge w:val="continue"/>
            <w:tcBorders>
              <w:top w:val="nil"/>
              <w:bottom w:val="nil"/>
            </w:tcBorders>
            <w:vAlign w:val="top"/>
          </w:tcPr>
          <w:p>
            <w:pPr>
              <w:pStyle w:val="8"/>
              <w:rPr>
                <w:sz w:val="21"/>
              </w:rPr>
            </w:pPr>
          </w:p>
        </w:tc>
        <w:tc>
          <w:tcPr>
            <w:tcW w:w="1641" w:type="dxa"/>
            <w:vAlign w:val="top"/>
          </w:tcPr>
          <w:p>
            <w:pPr>
              <w:rPr>
                <w:rFonts w:ascii="宋体" w:hAnsi="宋体" w:eastAsia="宋体" w:cs="宋体"/>
                <w:sz w:val="16"/>
                <w:szCs w:val="16"/>
              </w:rPr>
            </w:pPr>
            <w:r>
              <w:rPr>
                <w:rFonts w:hint="eastAsia" w:ascii="宋体" w:hAnsi="宋体" w:eastAsia="宋体" w:cs="宋体"/>
                <w:sz w:val="16"/>
                <w:szCs w:val="16"/>
              </w:rPr>
              <w:t>支出责任履行情况</w:t>
            </w:r>
          </w:p>
        </w:tc>
        <w:tc>
          <w:tcPr>
            <w:tcW w:w="2717" w:type="dxa"/>
            <w:gridSpan w:val="3"/>
            <w:vAlign w:val="top"/>
          </w:tcPr>
          <w:p>
            <w:pPr>
              <w:rPr>
                <w:sz w:val="16"/>
              </w:rPr>
            </w:pPr>
            <w:r>
              <w:rPr>
                <w:rFonts w:hint="eastAsia" w:ascii="宋体" w:hAnsi="宋体" w:eastAsia="宋体" w:cs="宋体"/>
                <w:sz w:val="16"/>
                <w:szCs w:val="16"/>
                <w:lang w:val="en-US" w:eastAsia="zh-CN"/>
              </w:rPr>
              <w:t>支出责任履行情况良好</w:t>
            </w:r>
          </w:p>
        </w:tc>
        <w:tc>
          <w:tcPr>
            <w:tcW w:w="569" w:type="dxa"/>
            <w:vAlign w:val="top"/>
          </w:tcPr>
          <w:p>
            <w:pPr>
              <w:jc w:val="center"/>
              <w:rPr>
                <w:rFonts w:ascii="宋体" w:hAnsi="宋体" w:eastAsia="宋体" w:cs="宋体"/>
                <w:sz w:val="16"/>
                <w:szCs w:val="16"/>
              </w:rPr>
            </w:pPr>
            <w:r>
              <w:rPr>
                <w:rFonts w:hint="eastAsia" w:ascii="宋体" w:hAnsi="宋体" w:eastAsia="宋体" w:cs="宋体"/>
                <w:sz w:val="16"/>
                <w:szCs w:val="16"/>
              </w:rPr>
              <w:t>5</w:t>
            </w:r>
          </w:p>
        </w:tc>
        <w:tc>
          <w:tcPr>
            <w:tcW w:w="518" w:type="dxa"/>
            <w:vAlign w:val="top"/>
          </w:tcPr>
          <w:p>
            <w:pPr>
              <w:jc w:val="center"/>
              <w:rPr>
                <w:sz w:val="16"/>
              </w:rPr>
            </w:pPr>
            <w:r>
              <w:rPr>
                <w:rFonts w:hint="eastAsia" w:ascii="宋体" w:hAnsi="宋体" w:eastAsia="宋体" w:cs="宋体"/>
                <w:sz w:val="16"/>
                <w:szCs w:val="16"/>
                <w:lang w:val="en-US" w:eastAsia="zh-CN"/>
              </w:rPr>
              <w:t>5</w:t>
            </w:r>
          </w:p>
        </w:tc>
        <w:tc>
          <w:tcPr>
            <w:tcW w:w="2114" w:type="dxa"/>
            <w:gridSpan w:val="2"/>
            <w:vAlign w:val="top"/>
          </w:tcPr>
          <w:p>
            <w:pPr>
              <w:jc w:val="center"/>
              <w:rPr>
                <w:sz w:val="16"/>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1650" w:type="dxa"/>
            <w:gridSpan w:val="3"/>
            <w:vMerge w:val="continue"/>
            <w:tcBorders>
              <w:top w:val="nil"/>
            </w:tcBorders>
            <w:vAlign w:val="top"/>
          </w:tcPr>
          <w:p>
            <w:pPr>
              <w:pStyle w:val="8"/>
              <w:rPr>
                <w:sz w:val="21"/>
              </w:rPr>
            </w:pPr>
          </w:p>
        </w:tc>
        <w:tc>
          <w:tcPr>
            <w:tcW w:w="1641" w:type="dxa"/>
            <w:vAlign w:val="top"/>
          </w:tcPr>
          <w:p>
            <w:pPr>
              <w:rPr>
                <w:rFonts w:ascii="宋体" w:hAnsi="宋体" w:eastAsia="宋体" w:cs="宋体"/>
                <w:sz w:val="16"/>
                <w:szCs w:val="16"/>
              </w:rPr>
            </w:pPr>
            <w:r>
              <w:rPr>
                <w:rFonts w:hint="eastAsia" w:ascii="宋体" w:hAnsi="宋体" w:eastAsia="宋体" w:cs="宋体"/>
                <w:sz w:val="16"/>
                <w:szCs w:val="16"/>
              </w:rPr>
              <w:t>政策目标实现情况</w:t>
            </w:r>
          </w:p>
        </w:tc>
        <w:tc>
          <w:tcPr>
            <w:tcW w:w="2717" w:type="dxa"/>
            <w:gridSpan w:val="3"/>
            <w:vAlign w:val="top"/>
          </w:tcPr>
          <w:p>
            <w:r>
              <w:rPr>
                <w:rFonts w:hint="eastAsia" w:ascii="宋体" w:hAnsi="宋体" w:eastAsia="宋体" w:cs="宋体"/>
                <w:sz w:val="16"/>
                <w:szCs w:val="16"/>
                <w:lang w:val="en-US" w:eastAsia="zh-CN"/>
              </w:rPr>
              <w:t>政策目标实现情况良好</w:t>
            </w:r>
          </w:p>
        </w:tc>
        <w:tc>
          <w:tcPr>
            <w:tcW w:w="569" w:type="dxa"/>
            <w:vAlign w:val="top"/>
          </w:tcPr>
          <w:p>
            <w:pPr>
              <w:jc w:val="center"/>
              <w:rPr>
                <w:rFonts w:ascii="宋体" w:hAnsi="宋体" w:eastAsia="宋体" w:cs="宋体"/>
                <w:sz w:val="16"/>
                <w:szCs w:val="16"/>
              </w:rPr>
            </w:pPr>
            <w:r>
              <w:rPr>
                <w:rFonts w:hint="eastAsia" w:ascii="宋体" w:hAnsi="宋体" w:eastAsia="宋体" w:cs="宋体"/>
                <w:sz w:val="16"/>
                <w:szCs w:val="16"/>
              </w:rPr>
              <w:t>5</w:t>
            </w:r>
          </w:p>
        </w:tc>
        <w:tc>
          <w:tcPr>
            <w:tcW w:w="518" w:type="dxa"/>
            <w:vAlign w:val="top"/>
          </w:tcPr>
          <w:p>
            <w:pPr>
              <w:jc w:val="center"/>
            </w:pPr>
            <w:r>
              <w:rPr>
                <w:rFonts w:hint="eastAsia" w:ascii="宋体" w:hAnsi="宋体" w:eastAsia="宋体" w:cs="宋体"/>
                <w:sz w:val="16"/>
                <w:szCs w:val="16"/>
                <w:lang w:val="en-US" w:eastAsia="zh-CN"/>
              </w:rPr>
              <w:t>5</w:t>
            </w:r>
          </w:p>
        </w:tc>
        <w:tc>
          <w:tcPr>
            <w:tcW w:w="2114" w:type="dxa"/>
            <w:gridSpan w:val="2"/>
            <w:vAlign w:val="top"/>
          </w:tcPr>
          <w:p>
            <w:pPr>
              <w:jc w:val="cente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384" w:type="dxa"/>
            <w:vMerge w:val="restart"/>
            <w:tcBorders>
              <w:bottom w:val="nil"/>
            </w:tcBorders>
            <w:textDirection w:val="btLr"/>
            <w:vAlign w:val="top"/>
          </w:tcPr>
          <w:p>
            <w:pPr>
              <w:spacing w:before="41" w:line="176" w:lineRule="auto"/>
              <w:jc w:val="center"/>
              <w:rPr>
                <w:rFonts w:hint="eastAsia" w:ascii="宋体" w:hAnsi="宋体" w:eastAsia="宋体" w:cs="宋体"/>
                <w:sz w:val="36"/>
                <w:szCs w:val="36"/>
                <w:lang w:eastAsia="zh-CN"/>
              </w:rPr>
            </w:pPr>
            <w:r>
              <w:rPr>
                <w:rFonts w:hint="eastAsia" w:ascii="宋体" w:hAnsi="宋体" w:eastAsia="宋体" w:cs="宋体"/>
                <w:spacing w:val="-2"/>
                <w:sz w:val="16"/>
                <w:szCs w:val="16"/>
                <w:lang w:eastAsia="zh-CN"/>
              </w:rPr>
              <w:t>年度</w:t>
            </w:r>
          </w:p>
        </w:tc>
        <w:tc>
          <w:tcPr>
            <w:tcW w:w="4715" w:type="dxa"/>
            <w:gridSpan w:val="5"/>
            <w:vAlign w:val="top"/>
          </w:tcPr>
          <w:p>
            <w:pPr>
              <w:spacing w:before="51" w:line="216" w:lineRule="auto"/>
              <w:ind w:left="2040"/>
              <w:rPr>
                <w:rFonts w:ascii="宋体" w:hAnsi="宋体" w:eastAsia="宋体" w:cs="宋体"/>
                <w:sz w:val="16"/>
                <w:szCs w:val="16"/>
              </w:rPr>
            </w:pPr>
            <w:r>
              <w:rPr>
                <w:rFonts w:ascii="宋体" w:hAnsi="宋体" w:eastAsia="宋体" w:cs="宋体"/>
                <w:spacing w:val="-2"/>
                <w:sz w:val="16"/>
                <w:szCs w:val="16"/>
              </w:rPr>
              <w:t>总体目标</w:t>
            </w:r>
          </w:p>
        </w:tc>
        <w:tc>
          <w:tcPr>
            <w:tcW w:w="4110" w:type="dxa"/>
            <w:gridSpan w:val="5"/>
            <w:vAlign w:val="top"/>
          </w:tcPr>
          <w:p>
            <w:pPr>
              <w:spacing w:before="51" w:line="216" w:lineRule="auto"/>
              <w:ind w:left="1465"/>
              <w:rPr>
                <w:rFonts w:ascii="宋体" w:hAnsi="宋体" w:eastAsia="宋体" w:cs="宋体"/>
                <w:sz w:val="16"/>
                <w:szCs w:val="16"/>
              </w:rPr>
            </w:pPr>
            <w:r>
              <w:rPr>
                <w:rFonts w:ascii="宋体" w:hAnsi="宋体" w:eastAsia="宋体" w:cs="宋体"/>
                <w:spacing w:val="-1"/>
                <w:sz w:val="16"/>
                <w:szCs w:val="16"/>
              </w:rP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384" w:type="dxa"/>
            <w:vMerge w:val="continue"/>
            <w:tcBorders>
              <w:top w:val="nil"/>
            </w:tcBorders>
            <w:textDirection w:val="btLr"/>
            <w:vAlign w:val="top"/>
          </w:tcPr>
          <w:p>
            <w:pPr>
              <w:pStyle w:val="8"/>
              <w:rPr>
                <w:sz w:val="21"/>
              </w:rPr>
            </w:pPr>
          </w:p>
        </w:tc>
        <w:tc>
          <w:tcPr>
            <w:tcW w:w="4715" w:type="dxa"/>
            <w:gridSpan w:val="5"/>
            <w:vAlign w:val="top"/>
          </w:tcPr>
          <w:p>
            <w:pPr>
              <w:spacing w:before="52" w:line="219" w:lineRule="auto"/>
              <w:ind w:left="284"/>
              <w:rPr>
                <w:rFonts w:hint="eastAsia" w:ascii="宋体" w:hAnsi="宋体" w:eastAsia="宋体" w:cs="宋体"/>
                <w:i w:val="0"/>
                <w:iCs w:val="0"/>
                <w:snapToGrid w:val="0"/>
                <w:color w:val="000000"/>
                <w:kern w:val="0"/>
                <w:sz w:val="18"/>
                <w:szCs w:val="18"/>
                <w:u w:val="none"/>
                <w:lang w:val="en-US" w:eastAsia="zh-CN" w:bidi="ar"/>
              </w:rPr>
            </w:pPr>
            <w:r>
              <w:rPr>
                <w:rFonts w:hint="eastAsia" w:ascii="宋体" w:hAnsi="宋体" w:eastAsia="宋体" w:cs="宋体"/>
                <w:i w:val="0"/>
                <w:iCs w:val="0"/>
                <w:snapToGrid w:val="0"/>
                <w:color w:val="000000"/>
                <w:kern w:val="0"/>
                <w:sz w:val="18"/>
                <w:szCs w:val="18"/>
                <w:u w:val="none"/>
                <w:lang w:val="en-US" w:eastAsia="zh-CN" w:bidi="ar"/>
              </w:rPr>
              <w:t>新华街、五原街、朔方路、乌拉特大街七个城市燃气管网等老化更新改造项目共更换燃气市政管道10146米，更换城市供水管道10146米，城市排水管道20495米。</w:t>
            </w:r>
          </w:p>
          <w:p>
            <w:pPr>
              <w:pStyle w:val="8"/>
              <w:rPr>
                <w:sz w:val="21"/>
              </w:rPr>
            </w:pPr>
          </w:p>
        </w:tc>
        <w:tc>
          <w:tcPr>
            <w:tcW w:w="4110" w:type="dxa"/>
            <w:gridSpan w:val="5"/>
            <w:vAlign w:val="top"/>
          </w:tcPr>
          <w:p>
            <w:pPr>
              <w:pStyle w:val="8"/>
              <w:rPr>
                <w:sz w:val="21"/>
              </w:rPr>
            </w:pPr>
            <w:r>
              <w:rPr>
                <w:rFonts w:hint="eastAsia" w:ascii="宋体" w:hAnsi="宋体" w:eastAsia="宋体" w:cs="宋体"/>
                <w:i w:val="0"/>
                <w:iCs w:val="0"/>
                <w:snapToGrid w:val="0"/>
                <w:color w:val="000000"/>
                <w:kern w:val="0"/>
                <w:sz w:val="18"/>
                <w:szCs w:val="18"/>
                <w:u w:val="none"/>
                <w:lang w:val="en-US" w:eastAsia="zh-CN" w:bidi="ar"/>
              </w:rPr>
              <w:t>本年度完成2023年临河区城市燃气管道等老化更新改造项目，年初预算7950万元，实际支出1500万元，预算执行率11.27%，本年度完成更换城市燃气市政管道420米，更换城市供水管道1530米，更换城市排水管道2660米。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384" w:type="dxa"/>
            <w:vMerge w:val="restart"/>
            <w:textDirection w:val="tbRlV"/>
            <w:vAlign w:val="center"/>
          </w:tcPr>
          <w:p>
            <w:pPr>
              <w:spacing w:before="108" w:line="217" w:lineRule="auto"/>
              <w:ind w:left="2919"/>
              <w:rPr>
                <w:rFonts w:ascii="宋体" w:hAnsi="宋体" w:eastAsia="宋体" w:cs="宋体"/>
                <w:sz w:val="16"/>
                <w:szCs w:val="16"/>
              </w:rPr>
            </w:pPr>
            <w:r>
              <w:rPr>
                <w:rFonts w:ascii="宋体" w:hAnsi="宋体" w:eastAsia="宋体" w:cs="宋体"/>
                <w:sz w:val="16"/>
                <w:szCs w:val="16"/>
              </w:rPr>
              <w:t>绩效指标</w:t>
            </w:r>
          </w:p>
        </w:tc>
        <w:tc>
          <w:tcPr>
            <w:tcW w:w="370" w:type="dxa"/>
            <w:vAlign w:val="center"/>
          </w:tcPr>
          <w:p>
            <w:pPr>
              <w:spacing w:before="25" w:line="204" w:lineRule="auto"/>
              <w:ind w:left="11" w:right="17" w:firstLine="19"/>
              <w:jc w:val="center"/>
              <w:rPr>
                <w:rFonts w:ascii="宋体" w:hAnsi="宋体" w:eastAsia="宋体" w:cs="宋体"/>
                <w:sz w:val="16"/>
                <w:szCs w:val="16"/>
              </w:rPr>
            </w:pPr>
            <w:r>
              <w:rPr>
                <w:rFonts w:ascii="宋体" w:hAnsi="宋体" w:eastAsia="宋体" w:cs="宋体"/>
                <w:spacing w:val="-5"/>
                <w:sz w:val="16"/>
                <w:szCs w:val="16"/>
              </w:rPr>
              <w:t>一级</w:t>
            </w:r>
            <w:r>
              <w:rPr>
                <w:rFonts w:ascii="宋体" w:hAnsi="宋体" w:eastAsia="宋体" w:cs="宋体"/>
                <w:sz w:val="16"/>
                <w:szCs w:val="16"/>
              </w:rPr>
              <w:t xml:space="preserve"> </w:t>
            </w:r>
            <w:r>
              <w:rPr>
                <w:rFonts w:ascii="宋体" w:hAnsi="宋体" w:eastAsia="宋体" w:cs="宋体"/>
                <w:spacing w:val="-3"/>
                <w:sz w:val="16"/>
                <w:szCs w:val="16"/>
              </w:rPr>
              <w:t>指标</w:t>
            </w:r>
          </w:p>
        </w:tc>
        <w:tc>
          <w:tcPr>
            <w:tcW w:w="896" w:type="dxa"/>
            <w:vAlign w:val="center"/>
          </w:tcPr>
          <w:p>
            <w:pPr>
              <w:spacing w:before="124" w:line="220" w:lineRule="auto"/>
              <w:ind w:left="70"/>
              <w:jc w:val="center"/>
              <w:rPr>
                <w:rFonts w:ascii="宋体" w:hAnsi="宋体" w:eastAsia="宋体" w:cs="宋体"/>
                <w:sz w:val="16"/>
                <w:szCs w:val="16"/>
              </w:rPr>
            </w:pPr>
            <w:r>
              <w:rPr>
                <w:rFonts w:ascii="宋体" w:hAnsi="宋体" w:eastAsia="宋体" w:cs="宋体"/>
                <w:spacing w:val="-2"/>
                <w:sz w:val="16"/>
                <w:szCs w:val="16"/>
              </w:rPr>
              <w:t>二级指标</w:t>
            </w:r>
          </w:p>
        </w:tc>
        <w:tc>
          <w:tcPr>
            <w:tcW w:w="2540" w:type="dxa"/>
            <w:gridSpan w:val="2"/>
            <w:vAlign w:val="center"/>
          </w:tcPr>
          <w:p>
            <w:pPr>
              <w:spacing w:before="124" w:line="220" w:lineRule="auto"/>
              <w:ind w:left="1032"/>
              <w:jc w:val="center"/>
              <w:rPr>
                <w:rFonts w:ascii="宋体" w:hAnsi="宋体" w:eastAsia="宋体" w:cs="宋体"/>
                <w:sz w:val="16"/>
                <w:szCs w:val="16"/>
              </w:rPr>
            </w:pPr>
            <w:r>
              <w:rPr>
                <w:rFonts w:ascii="宋体" w:hAnsi="宋体" w:eastAsia="宋体" w:cs="宋体"/>
                <w:spacing w:val="-2"/>
                <w:sz w:val="16"/>
                <w:szCs w:val="16"/>
              </w:rPr>
              <w:t>三级指标</w:t>
            </w:r>
          </w:p>
        </w:tc>
        <w:tc>
          <w:tcPr>
            <w:tcW w:w="909" w:type="dxa"/>
            <w:vAlign w:val="center"/>
          </w:tcPr>
          <w:p>
            <w:pPr>
              <w:spacing w:before="123" w:line="219" w:lineRule="auto"/>
              <w:ind w:left="204"/>
              <w:jc w:val="center"/>
              <w:rPr>
                <w:rFonts w:ascii="宋体" w:hAnsi="宋体" w:eastAsia="宋体" w:cs="宋体"/>
                <w:sz w:val="16"/>
                <w:szCs w:val="16"/>
              </w:rPr>
            </w:pPr>
            <w:r>
              <w:rPr>
                <w:rFonts w:ascii="宋体" w:hAnsi="宋体" w:eastAsia="宋体" w:cs="宋体"/>
                <w:spacing w:val="-2"/>
                <w:sz w:val="16"/>
                <w:szCs w:val="16"/>
              </w:rPr>
              <w:t>指标值</w:t>
            </w:r>
          </w:p>
        </w:tc>
        <w:tc>
          <w:tcPr>
            <w:tcW w:w="909" w:type="dxa"/>
            <w:vAlign w:val="center"/>
          </w:tcPr>
          <w:p>
            <w:pPr>
              <w:spacing w:before="13" w:line="211" w:lineRule="auto"/>
              <w:ind w:left="295" w:right="59" w:hanging="250"/>
              <w:jc w:val="center"/>
              <w:rPr>
                <w:rFonts w:ascii="宋体" w:hAnsi="宋体" w:eastAsia="宋体" w:cs="宋体"/>
                <w:sz w:val="16"/>
                <w:szCs w:val="16"/>
              </w:rPr>
            </w:pPr>
            <w:r>
              <w:rPr>
                <w:rFonts w:ascii="宋体" w:hAnsi="宋体" w:eastAsia="宋体" w:cs="宋体"/>
                <w:spacing w:val="-2"/>
                <w:sz w:val="16"/>
                <w:szCs w:val="16"/>
              </w:rPr>
              <w:t>全年实际完</w:t>
            </w:r>
            <w:r>
              <w:rPr>
                <w:rFonts w:ascii="宋体" w:hAnsi="宋体" w:eastAsia="宋体" w:cs="宋体"/>
                <w:spacing w:val="2"/>
                <w:sz w:val="16"/>
                <w:szCs w:val="16"/>
              </w:rPr>
              <w:t xml:space="preserve"> </w:t>
            </w:r>
            <w:r>
              <w:rPr>
                <w:rFonts w:ascii="宋体" w:hAnsi="宋体" w:eastAsia="宋体" w:cs="宋体"/>
                <w:spacing w:val="-2"/>
                <w:sz w:val="16"/>
                <w:szCs w:val="16"/>
              </w:rPr>
              <w:t>成值</w:t>
            </w:r>
          </w:p>
        </w:tc>
        <w:tc>
          <w:tcPr>
            <w:tcW w:w="569" w:type="dxa"/>
            <w:vAlign w:val="center"/>
          </w:tcPr>
          <w:p>
            <w:pPr>
              <w:spacing w:before="123" w:line="219" w:lineRule="auto"/>
              <w:ind w:left="116"/>
              <w:jc w:val="center"/>
              <w:rPr>
                <w:rFonts w:ascii="宋体" w:hAnsi="宋体" w:eastAsia="宋体" w:cs="宋体"/>
                <w:sz w:val="16"/>
                <w:szCs w:val="16"/>
              </w:rPr>
            </w:pPr>
            <w:r>
              <w:rPr>
                <w:rFonts w:ascii="宋体" w:hAnsi="宋体" w:eastAsia="宋体" w:cs="宋体"/>
                <w:spacing w:val="-3"/>
                <w:sz w:val="16"/>
                <w:szCs w:val="16"/>
              </w:rPr>
              <w:t>分值</w:t>
            </w:r>
          </w:p>
        </w:tc>
        <w:tc>
          <w:tcPr>
            <w:tcW w:w="518" w:type="dxa"/>
            <w:vAlign w:val="center"/>
          </w:tcPr>
          <w:p>
            <w:pPr>
              <w:spacing w:before="123" w:line="219" w:lineRule="auto"/>
              <w:ind w:left="27"/>
              <w:jc w:val="center"/>
              <w:rPr>
                <w:rFonts w:ascii="宋体" w:hAnsi="宋体" w:eastAsia="宋体" w:cs="宋体"/>
                <w:sz w:val="16"/>
                <w:szCs w:val="16"/>
              </w:rPr>
            </w:pPr>
            <w:r>
              <w:rPr>
                <w:rFonts w:ascii="宋体" w:hAnsi="宋体" w:eastAsia="宋体" w:cs="宋体"/>
                <w:spacing w:val="-2"/>
                <w:sz w:val="16"/>
                <w:szCs w:val="16"/>
              </w:rPr>
              <w:t>得分</w:t>
            </w:r>
          </w:p>
        </w:tc>
        <w:tc>
          <w:tcPr>
            <w:tcW w:w="2114" w:type="dxa"/>
            <w:gridSpan w:val="2"/>
            <w:vAlign w:val="center"/>
          </w:tcPr>
          <w:p>
            <w:pPr>
              <w:spacing w:before="123" w:line="219" w:lineRule="auto"/>
              <w:ind w:left="287"/>
              <w:jc w:val="center"/>
              <w:rPr>
                <w:rFonts w:ascii="宋体" w:hAnsi="宋体" w:eastAsia="宋体" w:cs="宋体"/>
                <w:sz w:val="16"/>
                <w:szCs w:val="16"/>
              </w:rPr>
            </w:pPr>
            <w:r>
              <w:rPr>
                <w:rFonts w:ascii="宋体" w:hAnsi="宋体" w:eastAsia="宋体" w:cs="宋体"/>
                <w:spacing w:val="-1"/>
                <w:sz w:val="16"/>
                <w:szCs w:val="16"/>
              </w:rP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exact"/>
          <w:jc w:val="center"/>
        </w:trPr>
        <w:tc>
          <w:tcPr>
            <w:tcW w:w="384" w:type="dxa"/>
            <w:vMerge w:val="continue"/>
            <w:textDirection w:val="tbRlV"/>
            <w:vAlign w:val="center"/>
          </w:tcPr>
          <w:p>
            <w:pPr>
              <w:pStyle w:val="8"/>
              <w:rPr>
                <w:sz w:val="21"/>
              </w:rPr>
            </w:pPr>
          </w:p>
        </w:tc>
        <w:tc>
          <w:tcPr>
            <w:tcW w:w="370" w:type="dxa"/>
            <w:vMerge w:val="restart"/>
            <w:tcBorders>
              <w:bottom w:val="nil"/>
            </w:tcBorders>
            <w:textDirection w:val="tbRlV"/>
            <w:vAlign w:val="center"/>
          </w:tcPr>
          <w:p>
            <w:pPr>
              <w:spacing w:before="109" w:line="216" w:lineRule="auto"/>
              <w:ind w:left="1000"/>
              <w:jc w:val="both"/>
              <w:rPr>
                <w:rFonts w:ascii="宋体" w:hAnsi="宋体" w:eastAsia="宋体" w:cs="宋体"/>
                <w:sz w:val="16"/>
                <w:szCs w:val="16"/>
              </w:rPr>
            </w:pPr>
            <w:r>
              <w:rPr>
                <w:rFonts w:ascii="宋体" w:hAnsi="宋体" w:eastAsia="宋体" w:cs="宋体"/>
                <w:sz w:val="16"/>
                <w:szCs w:val="16"/>
              </w:rPr>
              <w:t>产出指标</w:t>
            </w:r>
          </w:p>
        </w:tc>
        <w:tc>
          <w:tcPr>
            <w:tcW w:w="896" w:type="dxa"/>
            <w:vMerge w:val="restart"/>
            <w:tcBorders>
              <w:bottom w:val="nil"/>
            </w:tcBorders>
            <w:vAlign w:val="center"/>
          </w:tcPr>
          <w:p>
            <w:pPr>
              <w:spacing w:before="224" w:line="219" w:lineRule="auto"/>
              <w:ind w:left="70"/>
              <w:jc w:val="center"/>
              <w:rPr>
                <w:rFonts w:ascii="宋体" w:hAnsi="宋体" w:eastAsia="宋体" w:cs="宋体"/>
                <w:sz w:val="16"/>
                <w:szCs w:val="16"/>
              </w:rPr>
            </w:pPr>
            <w:r>
              <w:rPr>
                <w:rFonts w:ascii="宋体" w:hAnsi="宋体" w:eastAsia="宋体" w:cs="宋体"/>
                <w:spacing w:val="-2"/>
                <w:sz w:val="16"/>
                <w:szCs w:val="16"/>
              </w:rPr>
              <w:t>数量指标</w:t>
            </w:r>
          </w:p>
        </w:tc>
        <w:tc>
          <w:tcPr>
            <w:tcW w:w="2540" w:type="dxa"/>
            <w:gridSpan w:val="2"/>
            <w:vAlign w:val="center"/>
          </w:tcPr>
          <w:p>
            <w:pPr>
              <w:keepNext w:val="0"/>
              <w:keepLines w:val="0"/>
              <w:widowControl/>
              <w:suppressLineNumbers w:val="0"/>
              <w:jc w:val="center"/>
              <w:textAlignment w:val="center"/>
              <w:rPr>
                <w:sz w:val="16"/>
                <w:szCs w:val="16"/>
              </w:rPr>
            </w:pPr>
            <w:r>
              <w:rPr>
                <w:rFonts w:hint="eastAsia" w:ascii="宋体" w:hAnsi="宋体" w:eastAsia="宋体" w:cs="宋体"/>
                <w:i w:val="0"/>
                <w:iCs w:val="0"/>
                <w:snapToGrid w:val="0"/>
                <w:color w:val="000000"/>
                <w:kern w:val="0"/>
                <w:sz w:val="16"/>
                <w:szCs w:val="16"/>
                <w:u w:val="none"/>
                <w:lang w:val="en-US" w:eastAsia="zh-CN" w:bidi="ar"/>
              </w:rPr>
              <w:t>更换城市供水管道</w:t>
            </w:r>
          </w:p>
        </w:tc>
        <w:tc>
          <w:tcPr>
            <w:tcW w:w="909" w:type="dxa"/>
            <w:vAlign w:val="center"/>
          </w:tcPr>
          <w:p>
            <w:pPr>
              <w:keepNext w:val="0"/>
              <w:keepLines w:val="0"/>
              <w:widowControl/>
              <w:suppressLineNumbers w:val="0"/>
              <w:jc w:val="center"/>
              <w:textAlignment w:val="center"/>
              <w:rPr>
                <w:sz w:val="16"/>
                <w:szCs w:val="16"/>
              </w:rPr>
            </w:pPr>
            <w:r>
              <w:rPr>
                <w:rFonts w:hint="eastAsia" w:ascii="宋体" w:hAnsi="宋体" w:eastAsia="宋体" w:cs="宋体"/>
                <w:i w:val="0"/>
                <w:iCs w:val="0"/>
                <w:snapToGrid w:val="0"/>
                <w:color w:val="000000"/>
                <w:kern w:val="0"/>
                <w:sz w:val="16"/>
                <w:szCs w:val="16"/>
                <w:u w:val="none"/>
                <w:lang w:val="en-US" w:eastAsia="zh-CN" w:bidi="ar"/>
              </w:rPr>
              <w:t>10146</w:t>
            </w:r>
          </w:p>
        </w:tc>
        <w:tc>
          <w:tcPr>
            <w:tcW w:w="909" w:type="dxa"/>
            <w:vAlign w:val="center"/>
          </w:tcPr>
          <w:p>
            <w:pPr>
              <w:keepNext w:val="0"/>
              <w:keepLines w:val="0"/>
              <w:widowControl/>
              <w:suppressLineNumbers w:val="0"/>
              <w:jc w:val="center"/>
              <w:textAlignment w:val="center"/>
              <w:rPr>
                <w:rFonts w:hint="default"/>
                <w:sz w:val="16"/>
                <w:szCs w:val="16"/>
                <w:highlight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1530</w:t>
            </w:r>
          </w:p>
        </w:tc>
        <w:tc>
          <w:tcPr>
            <w:tcW w:w="569" w:type="dxa"/>
            <w:vAlign w:val="center"/>
          </w:tcPr>
          <w:p>
            <w:pPr>
              <w:keepNext w:val="0"/>
              <w:keepLines w:val="0"/>
              <w:widowControl/>
              <w:suppressLineNumbers w:val="0"/>
              <w:jc w:val="center"/>
              <w:textAlignment w:val="center"/>
              <w:rPr>
                <w:rFonts w:hint="eastAsia" w:eastAsia="宋体"/>
                <w:sz w:val="16"/>
                <w:szCs w:val="16"/>
                <w:highlight w:val="none"/>
                <w:lang w:val="en-US" w:eastAsia="zh-CN"/>
              </w:rPr>
            </w:pPr>
            <w:r>
              <w:rPr>
                <w:rFonts w:hint="eastAsia" w:eastAsia="宋体"/>
                <w:sz w:val="16"/>
                <w:szCs w:val="16"/>
                <w:highlight w:val="none"/>
                <w:lang w:val="en-US" w:eastAsia="zh-CN"/>
              </w:rPr>
              <w:t>5</w:t>
            </w:r>
          </w:p>
        </w:tc>
        <w:tc>
          <w:tcPr>
            <w:tcW w:w="518" w:type="dxa"/>
            <w:vAlign w:val="center"/>
          </w:tcPr>
          <w:p>
            <w:pPr>
              <w:keepNext w:val="0"/>
              <w:keepLines w:val="0"/>
              <w:widowControl/>
              <w:suppressLineNumbers w:val="0"/>
              <w:jc w:val="center"/>
              <w:textAlignment w:val="center"/>
              <w:rPr>
                <w:rFonts w:hint="default" w:eastAsia="宋体"/>
                <w:sz w:val="16"/>
                <w:szCs w:val="16"/>
                <w:highlight w:val="none"/>
                <w:lang w:val="en-US" w:eastAsia="zh-CN"/>
              </w:rPr>
            </w:pPr>
            <w:r>
              <w:rPr>
                <w:rFonts w:hint="eastAsia" w:eastAsia="宋体"/>
                <w:sz w:val="16"/>
                <w:szCs w:val="16"/>
                <w:highlight w:val="none"/>
                <w:lang w:val="en-US" w:eastAsia="zh-CN"/>
              </w:rPr>
              <w:t>0.75</w:t>
            </w:r>
          </w:p>
        </w:tc>
        <w:tc>
          <w:tcPr>
            <w:tcW w:w="2114" w:type="dxa"/>
            <w:gridSpan w:val="2"/>
            <w:vAlign w:val="center"/>
          </w:tcPr>
          <w:p>
            <w:pPr>
              <w:pStyle w:val="8"/>
              <w:spacing w:line="18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exac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vMerge w:val="continue"/>
            <w:tcBorders>
              <w:top w:val="nil"/>
              <w:bottom w:val="nil"/>
            </w:tcBorders>
            <w:vAlign w:val="center"/>
          </w:tcPr>
          <w:p>
            <w:pPr>
              <w:pStyle w:val="8"/>
              <w:jc w:val="center"/>
              <w:rPr>
                <w:sz w:val="16"/>
                <w:szCs w:val="16"/>
              </w:rPr>
            </w:pPr>
          </w:p>
        </w:tc>
        <w:tc>
          <w:tcPr>
            <w:tcW w:w="2540" w:type="dxa"/>
            <w:gridSpan w:val="2"/>
            <w:vAlign w:val="center"/>
          </w:tcPr>
          <w:p>
            <w:pPr>
              <w:keepNext w:val="0"/>
              <w:keepLines w:val="0"/>
              <w:widowControl/>
              <w:suppressLineNumbers w:val="0"/>
              <w:jc w:val="center"/>
              <w:textAlignment w:val="center"/>
              <w:rPr>
                <w:sz w:val="16"/>
                <w:szCs w:val="16"/>
              </w:rPr>
            </w:pPr>
            <w:r>
              <w:rPr>
                <w:rFonts w:hint="eastAsia" w:ascii="宋体" w:hAnsi="宋体" w:eastAsia="宋体" w:cs="宋体"/>
                <w:i w:val="0"/>
                <w:iCs w:val="0"/>
                <w:snapToGrid w:val="0"/>
                <w:color w:val="000000"/>
                <w:kern w:val="0"/>
                <w:sz w:val="16"/>
                <w:szCs w:val="16"/>
                <w:u w:val="none"/>
                <w:lang w:val="en-US" w:eastAsia="zh-CN" w:bidi="ar"/>
              </w:rPr>
              <w:t>更换城市排水管道</w:t>
            </w:r>
          </w:p>
        </w:tc>
        <w:tc>
          <w:tcPr>
            <w:tcW w:w="909" w:type="dxa"/>
            <w:vAlign w:val="center"/>
          </w:tcPr>
          <w:p>
            <w:pPr>
              <w:keepNext w:val="0"/>
              <w:keepLines w:val="0"/>
              <w:widowControl/>
              <w:suppressLineNumbers w:val="0"/>
              <w:jc w:val="center"/>
              <w:textAlignment w:val="center"/>
              <w:rPr>
                <w:sz w:val="16"/>
                <w:szCs w:val="16"/>
              </w:rPr>
            </w:pPr>
            <w:r>
              <w:rPr>
                <w:rFonts w:hint="eastAsia" w:ascii="宋体" w:hAnsi="宋体" w:eastAsia="宋体" w:cs="宋体"/>
                <w:i w:val="0"/>
                <w:iCs w:val="0"/>
                <w:snapToGrid w:val="0"/>
                <w:color w:val="000000"/>
                <w:kern w:val="0"/>
                <w:sz w:val="16"/>
                <w:szCs w:val="16"/>
                <w:u w:val="none"/>
                <w:lang w:val="en-US" w:eastAsia="zh-CN" w:bidi="ar"/>
              </w:rPr>
              <w:t>21642</w:t>
            </w:r>
          </w:p>
        </w:tc>
        <w:tc>
          <w:tcPr>
            <w:tcW w:w="909" w:type="dxa"/>
            <w:vAlign w:val="center"/>
          </w:tcPr>
          <w:p>
            <w:pPr>
              <w:keepNext w:val="0"/>
              <w:keepLines w:val="0"/>
              <w:widowControl/>
              <w:suppressLineNumbers w:val="0"/>
              <w:jc w:val="center"/>
              <w:textAlignment w:val="center"/>
              <w:rPr>
                <w:rFonts w:hint="default"/>
                <w:sz w:val="16"/>
                <w:szCs w:val="16"/>
                <w:highlight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2660</w:t>
            </w:r>
          </w:p>
        </w:tc>
        <w:tc>
          <w:tcPr>
            <w:tcW w:w="569" w:type="dxa"/>
            <w:vAlign w:val="center"/>
          </w:tcPr>
          <w:p>
            <w:pPr>
              <w:keepNext w:val="0"/>
              <w:keepLines w:val="0"/>
              <w:widowControl/>
              <w:suppressLineNumbers w:val="0"/>
              <w:jc w:val="center"/>
              <w:textAlignment w:val="center"/>
              <w:rPr>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3</w:t>
            </w:r>
          </w:p>
        </w:tc>
        <w:tc>
          <w:tcPr>
            <w:tcW w:w="518" w:type="dxa"/>
            <w:vAlign w:val="center"/>
          </w:tcPr>
          <w:p>
            <w:pPr>
              <w:keepNext w:val="0"/>
              <w:keepLines w:val="0"/>
              <w:widowControl/>
              <w:suppressLineNumbers w:val="0"/>
              <w:jc w:val="center"/>
              <w:textAlignment w:val="center"/>
              <w:rPr>
                <w:rFonts w:hint="default" w:eastAsia="宋体"/>
                <w:sz w:val="16"/>
                <w:szCs w:val="16"/>
                <w:highlight w:val="none"/>
                <w:lang w:val="en-US" w:eastAsia="zh-CN"/>
              </w:rPr>
            </w:pPr>
            <w:r>
              <w:rPr>
                <w:rFonts w:hint="eastAsia" w:eastAsia="宋体"/>
                <w:sz w:val="16"/>
                <w:szCs w:val="16"/>
                <w:highlight w:val="none"/>
                <w:lang w:val="en-US" w:eastAsia="zh-CN"/>
              </w:rPr>
              <w:t>0.36</w:t>
            </w:r>
          </w:p>
        </w:tc>
        <w:tc>
          <w:tcPr>
            <w:tcW w:w="2114" w:type="dxa"/>
            <w:gridSpan w:val="2"/>
            <w:vAlign w:val="center"/>
          </w:tcPr>
          <w:p>
            <w:pPr>
              <w:pStyle w:val="8"/>
              <w:spacing w:line="19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exac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vMerge w:val="continue"/>
            <w:tcBorders>
              <w:top w:val="nil"/>
            </w:tcBorders>
            <w:vAlign w:val="center"/>
          </w:tcPr>
          <w:p>
            <w:pPr>
              <w:pStyle w:val="8"/>
              <w:jc w:val="center"/>
              <w:rPr>
                <w:sz w:val="16"/>
                <w:szCs w:val="16"/>
              </w:rPr>
            </w:pPr>
          </w:p>
        </w:tc>
        <w:tc>
          <w:tcPr>
            <w:tcW w:w="2540" w:type="dxa"/>
            <w:gridSpan w:val="2"/>
            <w:vAlign w:val="center"/>
          </w:tcPr>
          <w:p>
            <w:pPr>
              <w:pStyle w:val="8"/>
              <w:spacing w:line="180" w:lineRule="exact"/>
              <w:jc w:val="center"/>
              <w:rPr>
                <w:rFonts w:hint="eastAsia" w:eastAsia="宋体"/>
                <w:sz w:val="16"/>
                <w:szCs w:val="16"/>
                <w:lang w:eastAsia="zh-CN"/>
              </w:rPr>
            </w:pPr>
            <w:r>
              <w:rPr>
                <w:rFonts w:hint="eastAsia" w:eastAsia="宋体"/>
                <w:sz w:val="16"/>
                <w:szCs w:val="16"/>
                <w:lang w:eastAsia="zh-CN"/>
              </w:rPr>
              <w:t>更换燃气市政管网</w:t>
            </w:r>
          </w:p>
        </w:tc>
        <w:tc>
          <w:tcPr>
            <w:tcW w:w="909" w:type="dxa"/>
            <w:vAlign w:val="center"/>
          </w:tcPr>
          <w:p>
            <w:pPr>
              <w:pStyle w:val="8"/>
              <w:spacing w:line="180" w:lineRule="exact"/>
              <w:jc w:val="center"/>
              <w:rPr>
                <w:rFonts w:hint="default" w:eastAsia="宋体"/>
                <w:sz w:val="16"/>
                <w:szCs w:val="16"/>
                <w:lang w:val="en-US" w:eastAsia="zh-CN"/>
              </w:rPr>
            </w:pPr>
            <w:r>
              <w:rPr>
                <w:rFonts w:hint="eastAsia" w:eastAsia="宋体"/>
                <w:sz w:val="16"/>
                <w:szCs w:val="16"/>
                <w:lang w:val="en-US" w:eastAsia="zh-CN"/>
              </w:rPr>
              <w:t>10146</w:t>
            </w:r>
          </w:p>
        </w:tc>
        <w:tc>
          <w:tcPr>
            <w:tcW w:w="909" w:type="dxa"/>
            <w:vAlign w:val="center"/>
          </w:tcPr>
          <w:p>
            <w:pPr>
              <w:pStyle w:val="8"/>
              <w:spacing w:line="18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420</w:t>
            </w:r>
          </w:p>
        </w:tc>
        <w:tc>
          <w:tcPr>
            <w:tcW w:w="569" w:type="dxa"/>
            <w:vAlign w:val="center"/>
          </w:tcPr>
          <w:p>
            <w:pPr>
              <w:pStyle w:val="8"/>
              <w:spacing w:line="180" w:lineRule="exact"/>
              <w:jc w:val="center"/>
              <w:rPr>
                <w:rFonts w:hint="eastAsia" w:eastAsia="宋体"/>
                <w:sz w:val="16"/>
                <w:szCs w:val="16"/>
                <w:highlight w:val="none"/>
                <w:lang w:val="en-US" w:eastAsia="zh-CN"/>
              </w:rPr>
            </w:pPr>
            <w:r>
              <w:rPr>
                <w:rFonts w:hint="eastAsia" w:eastAsia="宋体"/>
                <w:sz w:val="16"/>
                <w:szCs w:val="16"/>
                <w:highlight w:val="none"/>
                <w:lang w:val="en-US" w:eastAsia="zh-CN"/>
              </w:rPr>
              <w:t>2</w:t>
            </w:r>
          </w:p>
        </w:tc>
        <w:tc>
          <w:tcPr>
            <w:tcW w:w="518" w:type="dxa"/>
            <w:vAlign w:val="center"/>
          </w:tcPr>
          <w:p>
            <w:pPr>
              <w:pStyle w:val="8"/>
              <w:spacing w:line="18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0.08</w:t>
            </w:r>
          </w:p>
        </w:tc>
        <w:tc>
          <w:tcPr>
            <w:tcW w:w="2114" w:type="dxa"/>
            <w:gridSpan w:val="2"/>
            <w:vAlign w:val="center"/>
          </w:tcPr>
          <w:p>
            <w:pPr>
              <w:pStyle w:val="8"/>
              <w:spacing w:line="18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exac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vMerge w:val="restart"/>
            <w:tcBorders>
              <w:bottom w:val="nil"/>
            </w:tcBorders>
            <w:vAlign w:val="center"/>
          </w:tcPr>
          <w:p>
            <w:pPr>
              <w:spacing w:before="235" w:line="220" w:lineRule="auto"/>
              <w:ind w:left="70"/>
              <w:jc w:val="center"/>
              <w:rPr>
                <w:rFonts w:ascii="宋体" w:hAnsi="宋体" w:eastAsia="宋体" w:cs="宋体"/>
                <w:sz w:val="16"/>
                <w:szCs w:val="16"/>
              </w:rPr>
            </w:pPr>
            <w:r>
              <w:rPr>
                <w:rFonts w:ascii="宋体" w:hAnsi="宋体" w:eastAsia="宋体" w:cs="宋体"/>
                <w:spacing w:val="-2"/>
                <w:sz w:val="16"/>
                <w:szCs w:val="16"/>
              </w:rPr>
              <w:t>质量指标</w:t>
            </w:r>
          </w:p>
        </w:tc>
        <w:tc>
          <w:tcPr>
            <w:tcW w:w="2540" w:type="dxa"/>
            <w:gridSpan w:val="2"/>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材料合格率</w:t>
            </w:r>
          </w:p>
        </w:tc>
        <w:tc>
          <w:tcPr>
            <w:tcW w:w="909" w:type="dxa"/>
            <w:vAlign w:val="center"/>
          </w:tcPr>
          <w:p>
            <w:pPr>
              <w:pStyle w:val="8"/>
              <w:spacing w:line="190" w:lineRule="exact"/>
              <w:jc w:val="center"/>
              <w:rPr>
                <w:rFonts w:hint="default" w:eastAsia="宋体"/>
                <w:sz w:val="16"/>
                <w:szCs w:val="16"/>
                <w:lang w:val="en-US" w:eastAsia="zh-CN"/>
              </w:rPr>
            </w:pPr>
            <w:r>
              <w:rPr>
                <w:rFonts w:hint="eastAsia" w:eastAsia="宋体"/>
                <w:sz w:val="16"/>
                <w:szCs w:val="16"/>
                <w:lang w:val="en-US" w:eastAsia="zh-CN"/>
              </w:rPr>
              <w:t>97</w:t>
            </w:r>
          </w:p>
        </w:tc>
        <w:tc>
          <w:tcPr>
            <w:tcW w:w="909" w:type="dxa"/>
            <w:vAlign w:val="center"/>
          </w:tcPr>
          <w:p>
            <w:pPr>
              <w:pStyle w:val="8"/>
              <w:spacing w:line="190" w:lineRule="exact"/>
              <w:jc w:val="center"/>
              <w:rPr>
                <w:sz w:val="16"/>
                <w:szCs w:val="16"/>
                <w:highlight w:val="none"/>
              </w:rPr>
            </w:pPr>
            <w:r>
              <w:rPr>
                <w:rFonts w:hint="eastAsia" w:eastAsia="宋体"/>
                <w:sz w:val="16"/>
                <w:szCs w:val="16"/>
                <w:highlight w:val="none"/>
                <w:lang w:val="en-US" w:eastAsia="zh-CN"/>
              </w:rPr>
              <w:t>97</w:t>
            </w:r>
          </w:p>
        </w:tc>
        <w:tc>
          <w:tcPr>
            <w:tcW w:w="569" w:type="dxa"/>
            <w:vAlign w:val="center"/>
          </w:tcPr>
          <w:p>
            <w:pPr>
              <w:pStyle w:val="8"/>
              <w:spacing w:line="190" w:lineRule="exact"/>
              <w:jc w:val="center"/>
              <w:rPr>
                <w:rFonts w:hint="eastAsia" w:eastAsia="宋体"/>
                <w:sz w:val="16"/>
                <w:szCs w:val="16"/>
                <w:highlight w:val="none"/>
                <w:lang w:val="en-US" w:eastAsia="zh-CN"/>
              </w:rPr>
            </w:pPr>
            <w:r>
              <w:rPr>
                <w:rFonts w:hint="eastAsia" w:eastAsia="宋体"/>
                <w:sz w:val="16"/>
                <w:szCs w:val="16"/>
                <w:highlight w:val="none"/>
                <w:lang w:val="en-US" w:eastAsia="zh-CN"/>
              </w:rPr>
              <w:t>2</w:t>
            </w:r>
          </w:p>
        </w:tc>
        <w:tc>
          <w:tcPr>
            <w:tcW w:w="518" w:type="dxa"/>
            <w:vAlign w:val="center"/>
          </w:tcPr>
          <w:p>
            <w:pPr>
              <w:pStyle w:val="8"/>
              <w:spacing w:line="19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2</w:t>
            </w:r>
          </w:p>
        </w:tc>
        <w:tc>
          <w:tcPr>
            <w:tcW w:w="2114" w:type="dxa"/>
            <w:gridSpan w:val="2"/>
            <w:vAlign w:val="center"/>
          </w:tcPr>
          <w:p>
            <w:pPr>
              <w:pStyle w:val="8"/>
              <w:spacing w:line="19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exac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vMerge w:val="continue"/>
            <w:tcBorders>
              <w:top w:val="nil"/>
              <w:bottom w:val="nil"/>
            </w:tcBorders>
            <w:vAlign w:val="center"/>
          </w:tcPr>
          <w:p>
            <w:pPr>
              <w:pStyle w:val="8"/>
              <w:jc w:val="center"/>
              <w:rPr>
                <w:sz w:val="16"/>
                <w:szCs w:val="16"/>
              </w:rPr>
            </w:pPr>
          </w:p>
        </w:tc>
        <w:tc>
          <w:tcPr>
            <w:tcW w:w="2540" w:type="dxa"/>
            <w:gridSpan w:val="2"/>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sz w:val="16"/>
                <w:szCs w:val="16"/>
                <w:lang w:val="en-US" w:eastAsia="zh-CN"/>
              </w:rPr>
              <w:t>验收</w:t>
            </w:r>
            <w:r>
              <w:rPr>
                <w:rFonts w:hint="eastAsia" w:ascii="宋体" w:hAnsi="宋体" w:eastAsia="宋体" w:cs="宋体"/>
                <w:i w:val="0"/>
                <w:iCs w:val="0"/>
                <w:snapToGrid w:val="0"/>
                <w:color w:val="000000"/>
                <w:kern w:val="0"/>
                <w:sz w:val="16"/>
                <w:szCs w:val="16"/>
                <w:u w:val="none"/>
                <w:lang w:val="en-US" w:eastAsia="zh-CN" w:bidi="ar"/>
              </w:rPr>
              <w:t>合格率</w:t>
            </w:r>
          </w:p>
        </w:tc>
        <w:tc>
          <w:tcPr>
            <w:tcW w:w="909" w:type="dxa"/>
            <w:vAlign w:val="center"/>
          </w:tcPr>
          <w:p>
            <w:pPr>
              <w:pStyle w:val="8"/>
              <w:spacing w:line="180" w:lineRule="exact"/>
              <w:jc w:val="center"/>
              <w:rPr>
                <w:rFonts w:hint="default" w:eastAsia="宋体"/>
                <w:sz w:val="16"/>
                <w:szCs w:val="16"/>
                <w:lang w:val="en-US" w:eastAsia="zh-CN"/>
              </w:rPr>
            </w:pPr>
            <w:r>
              <w:rPr>
                <w:rFonts w:hint="eastAsia" w:eastAsia="宋体"/>
                <w:sz w:val="16"/>
                <w:szCs w:val="16"/>
                <w:lang w:val="en-US" w:eastAsia="zh-CN"/>
              </w:rPr>
              <w:t>97</w:t>
            </w:r>
          </w:p>
        </w:tc>
        <w:tc>
          <w:tcPr>
            <w:tcW w:w="909" w:type="dxa"/>
            <w:vAlign w:val="center"/>
          </w:tcPr>
          <w:p>
            <w:pPr>
              <w:pStyle w:val="8"/>
              <w:spacing w:line="180" w:lineRule="exact"/>
              <w:jc w:val="center"/>
              <w:rPr>
                <w:sz w:val="16"/>
                <w:szCs w:val="16"/>
                <w:highlight w:val="none"/>
              </w:rPr>
            </w:pPr>
            <w:r>
              <w:rPr>
                <w:rFonts w:hint="eastAsia" w:eastAsia="宋体"/>
                <w:sz w:val="16"/>
                <w:szCs w:val="16"/>
                <w:highlight w:val="none"/>
                <w:lang w:val="en-US" w:eastAsia="zh-CN"/>
              </w:rPr>
              <w:t>97</w:t>
            </w:r>
          </w:p>
        </w:tc>
        <w:tc>
          <w:tcPr>
            <w:tcW w:w="569" w:type="dxa"/>
            <w:vAlign w:val="center"/>
          </w:tcPr>
          <w:p>
            <w:pPr>
              <w:pStyle w:val="8"/>
              <w:spacing w:line="180" w:lineRule="exact"/>
              <w:jc w:val="center"/>
              <w:rPr>
                <w:rFonts w:hint="eastAsia" w:eastAsia="宋体"/>
                <w:sz w:val="16"/>
                <w:szCs w:val="16"/>
                <w:highlight w:val="none"/>
                <w:lang w:val="en-US" w:eastAsia="zh-CN"/>
              </w:rPr>
            </w:pPr>
            <w:r>
              <w:rPr>
                <w:rFonts w:hint="eastAsia" w:eastAsia="宋体"/>
                <w:sz w:val="16"/>
                <w:szCs w:val="16"/>
                <w:highlight w:val="none"/>
                <w:lang w:val="en-US" w:eastAsia="zh-CN"/>
              </w:rPr>
              <w:t>3</w:t>
            </w:r>
          </w:p>
        </w:tc>
        <w:tc>
          <w:tcPr>
            <w:tcW w:w="518" w:type="dxa"/>
            <w:vAlign w:val="center"/>
          </w:tcPr>
          <w:p>
            <w:pPr>
              <w:pStyle w:val="8"/>
              <w:spacing w:line="18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3</w:t>
            </w:r>
          </w:p>
        </w:tc>
        <w:tc>
          <w:tcPr>
            <w:tcW w:w="2114" w:type="dxa"/>
            <w:gridSpan w:val="2"/>
            <w:vAlign w:val="center"/>
          </w:tcPr>
          <w:p>
            <w:pPr>
              <w:pStyle w:val="8"/>
              <w:spacing w:line="18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exac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vMerge w:val="restart"/>
            <w:tcBorders>
              <w:bottom w:val="nil"/>
            </w:tcBorders>
            <w:vAlign w:val="center"/>
          </w:tcPr>
          <w:p>
            <w:pPr>
              <w:spacing w:before="225" w:line="220" w:lineRule="auto"/>
              <w:ind w:left="70"/>
              <w:jc w:val="center"/>
              <w:rPr>
                <w:rFonts w:ascii="宋体" w:hAnsi="宋体" w:eastAsia="宋体" w:cs="宋体"/>
                <w:sz w:val="16"/>
                <w:szCs w:val="16"/>
              </w:rPr>
            </w:pPr>
            <w:r>
              <w:rPr>
                <w:rFonts w:ascii="宋体" w:hAnsi="宋体" w:eastAsia="宋体" w:cs="宋体"/>
                <w:spacing w:val="1"/>
                <w:sz w:val="16"/>
                <w:szCs w:val="16"/>
              </w:rPr>
              <w:t>时效指标</w:t>
            </w:r>
          </w:p>
        </w:tc>
        <w:tc>
          <w:tcPr>
            <w:tcW w:w="2540" w:type="dxa"/>
            <w:gridSpan w:val="2"/>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按时开工率</w:t>
            </w:r>
          </w:p>
        </w:tc>
        <w:tc>
          <w:tcPr>
            <w:tcW w:w="909" w:type="dxa"/>
            <w:vAlign w:val="center"/>
          </w:tcPr>
          <w:p>
            <w:pPr>
              <w:pStyle w:val="8"/>
              <w:spacing w:line="179" w:lineRule="exact"/>
              <w:jc w:val="center"/>
              <w:rPr>
                <w:rFonts w:hint="default" w:eastAsia="宋体"/>
                <w:sz w:val="16"/>
                <w:szCs w:val="16"/>
                <w:lang w:val="en-US" w:eastAsia="zh-CN"/>
              </w:rPr>
            </w:pPr>
            <w:r>
              <w:rPr>
                <w:rFonts w:hint="eastAsia" w:eastAsia="宋体"/>
                <w:sz w:val="16"/>
                <w:szCs w:val="16"/>
                <w:lang w:val="en-US" w:eastAsia="zh-CN"/>
              </w:rPr>
              <w:t>98</w:t>
            </w:r>
          </w:p>
        </w:tc>
        <w:tc>
          <w:tcPr>
            <w:tcW w:w="909" w:type="dxa"/>
            <w:vAlign w:val="center"/>
          </w:tcPr>
          <w:p>
            <w:pPr>
              <w:pStyle w:val="8"/>
              <w:spacing w:line="179" w:lineRule="exact"/>
              <w:jc w:val="center"/>
              <w:rPr>
                <w:sz w:val="16"/>
                <w:szCs w:val="16"/>
                <w:highlight w:val="none"/>
              </w:rPr>
            </w:pPr>
            <w:r>
              <w:rPr>
                <w:rFonts w:hint="eastAsia" w:eastAsia="宋体"/>
                <w:sz w:val="16"/>
                <w:szCs w:val="16"/>
                <w:highlight w:val="none"/>
                <w:lang w:val="en-US" w:eastAsia="zh-CN"/>
              </w:rPr>
              <w:t>98</w:t>
            </w:r>
          </w:p>
        </w:tc>
        <w:tc>
          <w:tcPr>
            <w:tcW w:w="569" w:type="dxa"/>
            <w:vAlign w:val="center"/>
          </w:tcPr>
          <w:p>
            <w:pPr>
              <w:pStyle w:val="8"/>
              <w:spacing w:line="179" w:lineRule="exact"/>
              <w:jc w:val="center"/>
              <w:rPr>
                <w:rFonts w:hint="eastAsia" w:eastAsia="宋体"/>
                <w:sz w:val="16"/>
                <w:szCs w:val="16"/>
                <w:highlight w:val="none"/>
                <w:lang w:val="en-US" w:eastAsia="zh-CN"/>
              </w:rPr>
            </w:pPr>
            <w:r>
              <w:rPr>
                <w:rFonts w:hint="eastAsia" w:eastAsia="宋体"/>
                <w:sz w:val="16"/>
                <w:szCs w:val="16"/>
                <w:highlight w:val="none"/>
                <w:lang w:val="en-US" w:eastAsia="zh-CN"/>
              </w:rPr>
              <w:t>3</w:t>
            </w:r>
          </w:p>
        </w:tc>
        <w:tc>
          <w:tcPr>
            <w:tcW w:w="518" w:type="dxa"/>
            <w:vAlign w:val="center"/>
          </w:tcPr>
          <w:p>
            <w:pPr>
              <w:pStyle w:val="8"/>
              <w:spacing w:line="179"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3</w:t>
            </w:r>
          </w:p>
        </w:tc>
        <w:tc>
          <w:tcPr>
            <w:tcW w:w="2114" w:type="dxa"/>
            <w:gridSpan w:val="2"/>
            <w:vAlign w:val="center"/>
          </w:tcPr>
          <w:p>
            <w:pPr>
              <w:pStyle w:val="8"/>
              <w:spacing w:line="179"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exac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vMerge w:val="continue"/>
            <w:tcBorders>
              <w:top w:val="nil"/>
              <w:bottom w:val="nil"/>
            </w:tcBorders>
            <w:vAlign w:val="center"/>
          </w:tcPr>
          <w:p>
            <w:pPr>
              <w:pStyle w:val="8"/>
              <w:jc w:val="center"/>
              <w:rPr>
                <w:sz w:val="16"/>
                <w:szCs w:val="16"/>
              </w:rPr>
            </w:pPr>
          </w:p>
        </w:tc>
        <w:tc>
          <w:tcPr>
            <w:tcW w:w="2540" w:type="dxa"/>
            <w:gridSpan w:val="2"/>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按时完工率</w:t>
            </w:r>
          </w:p>
        </w:tc>
        <w:tc>
          <w:tcPr>
            <w:tcW w:w="909" w:type="dxa"/>
            <w:vAlign w:val="center"/>
          </w:tcPr>
          <w:p>
            <w:pPr>
              <w:pStyle w:val="8"/>
              <w:spacing w:line="190" w:lineRule="exact"/>
              <w:jc w:val="center"/>
              <w:rPr>
                <w:rFonts w:hint="default" w:eastAsia="宋体"/>
                <w:sz w:val="16"/>
                <w:szCs w:val="16"/>
                <w:lang w:val="en-US" w:eastAsia="zh-CN"/>
              </w:rPr>
            </w:pPr>
            <w:r>
              <w:rPr>
                <w:rFonts w:hint="eastAsia" w:eastAsia="宋体"/>
                <w:sz w:val="16"/>
                <w:szCs w:val="16"/>
                <w:lang w:val="en-US" w:eastAsia="zh-CN"/>
              </w:rPr>
              <w:t>95</w:t>
            </w:r>
          </w:p>
        </w:tc>
        <w:tc>
          <w:tcPr>
            <w:tcW w:w="909" w:type="dxa"/>
            <w:vAlign w:val="center"/>
          </w:tcPr>
          <w:p>
            <w:pPr>
              <w:pStyle w:val="8"/>
              <w:spacing w:line="190" w:lineRule="exact"/>
              <w:jc w:val="center"/>
              <w:rPr>
                <w:sz w:val="16"/>
                <w:szCs w:val="16"/>
                <w:highlight w:val="none"/>
              </w:rPr>
            </w:pPr>
            <w:r>
              <w:rPr>
                <w:rFonts w:hint="eastAsia" w:eastAsia="宋体"/>
                <w:sz w:val="16"/>
                <w:szCs w:val="16"/>
                <w:highlight w:val="none"/>
                <w:lang w:val="en-US" w:eastAsia="zh-CN"/>
              </w:rPr>
              <w:t>95</w:t>
            </w:r>
          </w:p>
        </w:tc>
        <w:tc>
          <w:tcPr>
            <w:tcW w:w="569" w:type="dxa"/>
            <w:vAlign w:val="center"/>
          </w:tcPr>
          <w:p>
            <w:pPr>
              <w:pStyle w:val="8"/>
              <w:spacing w:line="19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2</w:t>
            </w:r>
          </w:p>
        </w:tc>
        <w:tc>
          <w:tcPr>
            <w:tcW w:w="518" w:type="dxa"/>
            <w:vAlign w:val="center"/>
          </w:tcPr>
          <w:p>
            <w:pPr>
              <w:pStyle w:val="8"/>
              <w:spacing w:line="19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2</w:t>
            </w:r>
          </w:p>
        </w:tc>
        <w:tc>
          <w:tcPr>
            <w:tcW w:w="2114" w:type="dxa"/>
            <w:gridSpan w:val="2"/>
            <w:vAlign w:val="center"/>
          </w:tcPr>
          <w:p>
            <w:pPr>
              <w:pStyle w:val="8"/>
              <w:spacing w:line="19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exac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vMerge w:val="restart"/>
            <w:tcBorders>
              <w:bottom w:val="nil"/>
            </w:tcBorders>
            <w:vAlign w:val="center"/>
          </w:tcPr>
          <w:p>
            <w:pPr>
              <w:spacing w:before="224" w:line="219" w:lineRule="auto"/>
              <w:ind w:left="70"/>
              <w:jc w:val="center"/>
              <w:rPr>
                <w:rFonts w:ascii="宋体" w:hAnsi="宋体" w:eastAsia="宋体" w:cs="宋体"/>
                <w:sz w:val="16"/>
                <w:szCs w:val="16"/>
              </w:rPr>
            </w:pPr>
            <w:r>
              <w:rPr>
                <w:rFonts w:ascii="宋体" w:hAnsi="宋体" w:eastAsia="宋体" w:cs="宋体"/>
                <w:spacing w:val="-2"/>
                <w:sz w:val="16"/>
                <w:szCs w:val="16"/>
              </w:rPr>
              <w:t>成本指标</w:t>
            </w:r>
          </w:p>
        </w:tc>
        <w:tc>
          <w:tcPr>
            <w:tcW w:w="2540" w:type="dxa"/>
            <w:gridSpan w:val="2"/>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成本控制率</w:t>
            </w:r>
          </w:p>
        </w:tc>
        <w:tc>
          <w:tcPr>
            <w:tcW w:w="909" w:type="dxa"/>
            <w:vAlign w:val="center"/>
          </w:tcPr>
          <w:p>
            <w:pPr>
              <w:pStyle w:val="8"/>
              <w:spacing w:line="180" w:lineRule="exact"/>
              <w:jc w:val="center"/>
              <w:rPr>
                <w:rFonts w:hint="default" w:eastAsia="宋体"/>
                <w:sz w:val="16"/>
                <w:szCs w:val="16"/>
                <w:lang w:val="en-US" w:eastAsia="zh-CN"/>
              </w:rPr>
            </w:pPr>
            <w:r>
              <w:rPr>
                <w:rFonts w:hint="eastAsia" w:eastAsia="宋体"/>
                <w:sz w:val="16"/>
                <w:szCs w:val="16"/>
                <w:lang w:val="en-US" w:eastAsia="zh-CN"/>
              </w:rPr>
              <w:t>96</w:t>
            </w:r>
          </w:p>
        </w:tc>
        <w:tc>
          <w:tcPr>
            <w:tcW w:w="909" w:type="dxa"/>
            <w:vAlign w:val="center"/>
          </w:tcPr>
          <w:p>
            <w:pPr>
              <w:pStyle w:val="8"/>
              <w:spacing w:line="180" w:lineRule="exact"/>
              <w:jc w:val="center"/>
              <w:rPr>
                <w:sz w:val="16"/>
                <w:szCs w:val="16"/>
                <w:highlight w:val="none"/>
              </w:rPr>
            </w:pPr>
            <w:r>
              <w:rPr>
                <w:rFonts w:hint="eastAsia" w:eastAsia="宋体"/>
                <w:sz w:val="16"/>
                <w:szCs w:val="16"/>
                <w:highlight w:val="none"/>
                <w:lang w:val="en-US" w:eastAsia="zh-CN"/>
              </w:rPr>
              <w:t>96</w:t>
            </w:r>
          </w:p>
        </w:tc>
        <w:tc>
          <w:tcPr>
            <w:tcW w:w="569" w:type="dxa"/>
            <w:vAlign w:val="center"/>
          </w:tcPr>
          <w:p>
            <w:pPr>
              <w:pStyle w:val="8"/>
              <w:spacing w:line="180" w:lineRule="exact"/>
              <w:jc w:val="center"/>
              <w:rPr>
                <w:rFonts w:hint="eastAsia" w:eastAsia="宋体"/>
                <w:sz w:val="16"/>
                <w:szCs w:val="16"/>
                <w:highlight w:val="none"/>
                <w:lang w:val="en-US" w:eastAsia="zh-CN"/>
              </w:rPr>
            </w:pPr>
            <w:r>
              <w:rPr>
                <w:rFonts w:hint="eastAsia" w:eastAsia="宋体"/>
                <w:sz w:val="16"/>
                <w:szCs w:val="16"/>
                <w:highlight w:val="none"/>
                <w:lang w:val="en-US" w:eastAsia="zh-CN"/>
              </w:rPr>
              <w:t>5</w:t>
            </w:r>
          </w:p>
        </w:tc>
        <w:tc>
          <w:tcPr>
            <w:tcW w:w="518" w:type="dxa"/>
            <w:vAlign w:val="center"/>
          </w:tcPr>
          <w:p>
            <w:pPr>
              <w:pStyle w:val="8"/>
              <w:spacing w:line="18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5</w:t>
            </w:r>
          </w:p>
        </w:tc>
        <w:tc>
          <w:tcPr>
            <w:tcW w:w="2114" w:type="dxa"/>
            <w:gridSpan w:val="2"/>
            <w:vAlign w:val="center"/>
          </w:tcPr>
          <w:p>
            <w:pPr>
              <w:pStyle w:val="8"/>
              <w:spacing w:line="18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exac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vMerge w:val="continue"/>
            <w:tcBorders>
              <w:top w:val="nil"/>
              <w:bottom w:val="nil"/>
            </w:tcBorders>
            <w:vAlign w:val="center"/>
          </w:tcPr>
          <w:p>
            <w:pPr>
              <w:pStyle w:val="8"/>
              <w:jc w:val="center"/>
              <w:rPr>
                <w:sz w:val="16"/>
                <w:szCs w:val="16"/>
              </w:rPr>
            </w:pPr>
          </w:p>
        </w:tc>
        <w:tc>
          <w:tcPr>
            <w:tcW w:w="2540" w:type="dxa"/>
            <w:gridSpan w:val="2"/>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资金成本</w:t>
            </w:r>
          </w:p>
        </w:tc>
        <w:tc>
          <w:tcPr>
            <w:tcW w:w="909" w:type="dxa"/>
            <w:vAlign w:val="center"/>
          </w:tcPr>
          <w:p>
            <w:pPr>
              <w:pStyle w:val="8"/>
              <w:spacing w:line="190" w:lineRule="exact"/>
              <w:jc w:val="center"/>
              <w:rPr>
                <w:rFonts w:hint="default" w:eastAsia="宋体"/>
                <w:sz w:val="16"/>
                <w:szCs w:val="16"/>
                <w:lang w:val="en-US" w:eastAsia="zh-CN"/>
              </w:rPr>
            </w:pPr>
            <w:r>
              <w:rPr>
                <w:rFonts w:hint="eastAsia" w:eastAsia="宋体"/>
                <w:sz w:val="16"/>
                <w:szCs w:val="16"/>
                <w:lang w:val="en-US" w:eastAsia="zh-CN"/>
              </w:rPr>
              <w:t>7950</w:t>
            </w:r>
          </w:p>
        </w:tc>
        <w:tc>
          <w:tcPr>
            <w:tcW w:w="909" w:type="dxa"/>
            <w:vAlign w:val="center"/>
          </w:tcPr>
          <w:p>
            <w:pPr>
              <w:pStyle w:val="8"/>
              <w:spacing w:line="19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21.66</w:t>
            </w:r>
          </w:p>
        </w:tc>
        <w:tc>
          <w:tcPr>
            <w:tcW w:w="569" w:type="dxa"/>
            <w:vAlign w:val="center"/>
          </w:tcPr>
          <w:p>
            <w:pPr>
              <w:pStyle w:val="8"/>
              <w:spacing w:line="190" w:lineRule="exact"/>
              <w:jc w:val="center"/>
              <w:rPr>
                <w:rFonts w:hint="eastAsia" w:eastAsia="宋体"/>
                <w:sz w:val="16"/>
                <w:szCs w:val="16"/>
                <w:highlight w:val="none"/>
                <w:lang w:val="en-US" w:eastAsia="zh-CN"/>
              </w:rPr>
            </w:pPr>
            <w:r>
              <w:rPr>
                <w:rFonts w:hint="eastAsia" w:eastAsia="宋体"/>
                <w:sz w:val="16"/>
                <w:szCs w:val="16"/>
                <w:highlight w:val="none"/>
                <w:lang w:val="en-US" w:eastAsia="zh-CN"/>
              </w:rPr>
              <w:t>5</w:t>
            </w:r>
          </w:p>
        </w:tc>
        <w:tc>
          <w:tcPr>
            <w:tcW w:w="518" w:type="dxa"/>
            <w:vAlign w:val="center"/>
          </w:tcPr>
          <w:p>
            <w:pPr>
              <w:pStyle w:val="8"/>
              <w:spacing w:line="19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0.01</w:t>
            </w:r>
          </w:p>
        </w:tc>
        <w:tc>
          <w:tcPr>
            <w:tcW w:w="2114" w:type="dxa"/>
            <w:gridSpan w:val="2"/>
            <w:vAlign w:val="center"/>
          </w:tcPr>
          <w:p>
            <w:pPr>
              <w:pStyle w:val="8"/>
              <w:spacing w:line="19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extDirection w:val="tbRlV"/>
            <w:vAlign w:val="center"/>
          </w:tcPr>
          <w:p>
            <w:pPr>
              <w:pStyle w:val="8"/>
              <w:rPr>
                <w:sz w:val="21"/>
              </w:rPr>
            </w:pPr>
          </w:p>
        </w:tc>
        <w:tc>
          <w:tcPr>
            <w:tcW w:w="370" w:type="dxa"/>
            <w:vMerge w:val="restart"/>
            <w:tcBorders>
              <w:bottom w:val="nil"/>
            </w:tcBorders>
            <w:textDirection w:val="tbRlV"/>
            <w:vAlign w:val="center"/>
          </w:tcPr>
          <w:p>
            <w:pPr>
              <w:spacing w:before="108" w:line="217" w:lineRule="auto"/>
              <w:ind w:left="981"/>
              <w:jc w:val="both"/>
              <w:rPr>
                <w:rFonts w:ascii="宋体" w:hAnsi="宋体" w:eastAsia="宋体" w:cs="宋体"/>
                <w:sz w:val="16"/>
                <w:szCs w:val="16"/>
              </w:rPr>
            </w:pPr>
            <w:r>
              <w:rPr>
                <w:rFonts w:ascii="宋体" w:hAnsi="宋体" w:eastAsia="宋体" w:cs="宋体"/>
                <w:sz w:val="16"/>
                <w:szCs w:val="16"/>
              </w:rPr>
              <w:t>效益指标</w:t>
            </w:r>
          </w:p>
        </w:tc>
        <w:tc>
          <w:tcPr>
            <w:tcW w:w="896" w:type="dxa"/>
            <w:tcBorders>
              <w:bottom w:val="nil"/>
            </w:tcBorders>
            <w:vAlign w:val="center"/>
          </w:tcPr>
          <w:p>
            <w:pPr>
              <w:spacing w:before="125" w:line="220" w:lineRule="auto"/>
              <w:ind w:left="230" w:right="85" w:hanging="160"/>
              <w:jc w:val="center"/>
              <w:rPr>
                <w:rFonts w:ascii="宋体" w:hAnsi="宋体" w:eastAsia="宋体" w:cs="宋体"/>
                <w:sz w:val="16"/>
                <w:szCs w:val="16"/>
              </w:rPr>
            </w:pPr>
            <w:r>
              <w:rPr>
                <w:rFonts w:ascii="宋体" w:hAnsi="宋体" w:eastAsia="宋体" w:cs="宋体"/>
                <w:spacing w:val="-2"/>
                <w:sz w:val="16"/>
                <w:szCs w:val="16"/>
              </w:rPr>
              <w:t>经济效益</w:t>
            </w:r>
            <w:r>
              <w:rPr>
                <w:rFonts w:ascii="宋体" w:hAnsi="宋体" w:eastAsia="宋体" w:cs="宋体"/>
                <w:sz w:val="16"/>
                <w:szCs w:val="16"/>
              </w:rPr>
              <w:t xml:space="preserve"> </w:t>
            </w:r>
            <w:r>
              <w:rPr>
                <w:rFonts w:ascii="宋体" w:hAnsi="宋体" w:eastAsia="宋体" w:cs="宋体"/>
                <w:spacing w:val="-3"/>
                <w:sz w:val="16"/>
                <w:szCs w:val="16"/>
              </w:rPr>
              <w:t>指标</w:t>
            </w:r>
          </w:p>
        </w:tc>
        <w:tc>
          <w:tcPr>
            <w:tcW w:w="2540" w:type="dxa"/>
            <w:gridSpan w:val="2"/>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沿线经济效益</w:t>
            </w:r>
          </w:p>
        </w:tc>
        <w:tc>
          <w:tcPr>
            <w:tcW w:w="909" w:type="dxa"/>
            <w:vAlign w:val="center"/>
          </w:tcPr>
          <w:p>
            <w:pPr>
              <w:pStyle w:val="8"/>
              <w:spacing w:line="180" w:lineRule="exact"/>
              <w:jc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持续提高</w:t>
            </w:r>
          </w:p>
        </w:tc>
        <w:tc>
          <w:tcPr>
            <w:tcW w:w="909" w:type="dxa"/>
            <w:vAlign w:val="center"/>
          </w:tcPr>
          <w:p>
            <w:pPr>
              <w:pStyle w:val="8"/>
              <w:spacing w:line="180" w:lineRule="exact"/>
              <w:jc w:val="center"/>
              <w:rPr>
                <w:rFonts w:hint="eastAsia" w:ascii="宋体" w:hAnsi="宋体" w:eastAsia="宋体" w:cs="宋体"/>
                <w:i w:val="0"/>
                <w:iCs w:val="0"/>
                <w:snapToGrid w:val="0"/>
                <w:color w:val="000000"/>
                <w:kern w:val="0"/>
                <w:sz w:val="16"/>
                <w:szCs w:val="16"/>
                <w:highlight w:val="none"/>
                <w:u w:val="none"/>
                <w:lang w:val="en-US" w:eastAsia="zh-CN" w:bidi="ar"/>
              </w:rPr>
            </w:pPr>
            <w:r>
              <w:rPr>
                <w:rFonts w:hint="eastAsia" w:ascii="宋体" w:hAnsi="宋体" w:eastAsia="宋体" w:cs="宋体"/>
                <w:i w:val="0"/>
                <w:iCs w:val="0"/>
                <w:snapToGrid w:val="0"/>
                <w:color w:val="000000"/>
                <w:kern w:val="0"/>
                <w:sz w:val="16"/>
                <w:szCs w:val="16"/>
                <w:highlight w:val="none"/>
                <w:u w:val="none"/>
                <w:lang w:val="en-US" w:eastAsia="zh-CN" w:bidi="ar"/>
              </w:rPr>
              <w:t>持续提高</w:t>
            </w:r>
          </w:p>
        </w:tc>
        <w:tc>
          <w:tcPr>
            <w:tcW w:w="569" w:type="dxa"/>
            <w:vAlign w:val="center"/>
          </w:tcPr>
          <w:p>
            <w:pPr>
              <w:pStyle w:val="8"/>
              <w:spacing w:line="190" w:lineRule="exact"/>
              <w:jc w:val="center"/>
              <w:rPr>
                <w:rFonts w:hint="eastAsia" w:ascii="Arial" w:hAnsi="Arial" w:eastAsia="宋体" w:cs="Arial"/>
                <w:snapToGrid w:val="0"/>
                <w:color w:val="000000"/>
                <w:kern w:val="0"/>
                <w:sz w:val="16"/>
                <w:szCs w:val="16"/>
                <w:highlight w:val="none"/>
                <w:lang w:val="en-US" w:eastAsia="zh-CN" w:bidi="ar-SA"/>
              </w:rPr>
            </w:pPr>
            <w:r>
              <w:rPr>
                <w:rFonts w:hint="eastAsia" w:eastAsia="宋体"/>
                <w:sz w:val="16"/>
                <w:szCs w:val="16"/>
                <w:highlight w:val="none"/>
                <w:lang w:val="en-US" w:eastAsia="zh-CN"/>
              </w:rPr>
              <w:t>5</w:t>
            </w:r>
          </w:p>
        </w:tc>
        <w:tc>
          <w:tcPr>
            <w:tcW w:w="518" w:type="dxa"/>
            <w:vAlign w:val="center"/>
          </w:tcPr>
          <w:p>
            <w:pPr>
              <w:pStyle w:val="8"/>
              <w:spacing w:line="180" w:lineRule="exact"/>
              <w:jc w:val="center"/>
              <w:rPr>
                <w:rFonts w:hint="eastAsia" w:eastAsia="宋体"/>
                <w:sz w:val="16"/>
                <w:szCs w:val="16"/>
                <w:highlight w:val="none"/>
                <w:lang w:val="en-US" w:eastAsia="zh-CN"/>
              </w:rPr>
            </w:pPr>
            <w:r>
              <w:rPr>
                <w:rFonts w:hint="eastAsia" w:eastAsia="宋体"/>
                <w:sz w:val="16"/>
                <w:szCs w:val="16"/>
                <w:highlight w:val="none"/>
                <w:lang w:val="en-US" w:eastAsia="zh-CN"/>
              </w:rPr>
              <w:t>5</w:t>
            </w:r>
          </w:p>
        </w:tc>
        <w:tc>
          <w:tcPr>
            <w:tcW w:w="2114" w:type="dxa"/>
            <w:gridSpan w:val="2"/>
            <w:vAlign w:val="center"/>
          </w:tcPr>
          <w:p>
            <w:pPr>
              <w:pStyle w:val="8"/>
              <w:spacing w:line="18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tcBorders>
              <w:bottom w:val="nil"/>
            </w:tcBorders>
            <w:vAlign w:val="center"/>
          </w:tcPr>
          <w:p>
            <w:pPr>
              <w:spacing w:before="134" w:line="215" w:lineRule="auto"/>
              <w:ind w:left="230" w:right="85" w:hanging="160"/>
              <w:jc w:val="center"/>
              <w:rPr>
                <w:rFonts w:ascii="宋体" w:hAnsi="宋体" w:eastAsia="宋体" w:cs="宋体"/>
                <w:sz w:val="16"/>
                <w:szCs w:val="16"/>
              </w:rPr>
            </w:pPr>
            <w:r>
              <w:rPr>
                <w:rFonts w:ascii="宋体" w:hAnsi="宋体" w:eastAsia="宋体" w:cs="宋体"/>
                <w:spacing w:val="-2"/>
                <w:sz w:val="16"/>
                <w:szCs w:val="16"/>
              </w:rPr>
              <w:t>社会效益</w:t>
            </w:r>
            <w:r>
              <w:rPr>
                <w:rFonts w:ascii="宋体" w:hAnsi="宋体" w:eastAsia="宋体" w:cs="宋体"/>
                <w:sz w:val="16"/>
                <w:szCs w:val="16"/>
              </w:rPr>
              <w:t xml:space="preserve"> </w:t>
            </w:r>
            <w:r>
              <w:rPr>
                <w:rFonts w:ascii="宋体" w:hAnsi="宋体" w:eastAsia="宋体" w:cs="宋体"/>
                <w:spacing w:val="-3"/>
                <w:sz w:val="16"/>
                <w:szCs w:val="16"/>
              </w:rPr>
              <w:t>指标</w:t>
            </w:r>
          </w:p>
        </w:tc>
        <w:tc>
          <w:tcPr>
            <w:tcW w:w="2540" w:type="dxa"/>
            <w:gridSpan w:val="2"/>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临河区宜居水平</w:t>
            </w:r>
          </w:p>
        </w:tc>
        <w:tc>
          <w:tcPr>
            <w:tcW w:w="909" w:type="dxa"/>
            <w:vAlign w:val="center"/>
          </w:tcPr>
          <w:p>
            <w:pPr>
              <w:pStyle w:val="8"/>
              <w:spacing w:line="170" w:lineRule="exact"/>
              <w:jc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持续提高</w:t>
            </w:r>
          </w:p>
        </w:tc>
        <w:tc>
          <w:tcPr>
            <w:tcW w:w="909" w:type="dxa"/>
            <w:vAlign w:val="center"/>
          </w:tcPr>
          <w:p>
            <w:pPr>
              <w:pStyle w:val="8"/>
              <w:spacing w:line="170" w:lineRule="exact"/>
              <w:jc w:val="center"/>
              <w:rPr>
                <w:rFonts w:hint="eastAsia" w:ascii="宋体" w:hAnsi="宋体" w:eastAsia="宋体" w:cs="宋体"/>
                <w:i w:val="0"/>
                <w:iCs w:val="0"/>
                <w:snapToGrid w:val="0"/>
                <w:color w:val="000000"/>
                <w:kern w:val="0"/>
                <w:sz w:val="16"/>
                <w:szCs w:val="16"/>
                <w:highlight w:val="none"/>
                <w:u w:val="none"/>
                <w:lang w:val="en-US" w:eastAsia="zh-CN" w:bidi="ar"/>
              </w:rPr>
            </w:pPr>
            <w:r>
              <w:rPr>
                <w:rFonts w:hint="eastAsia" w:ascii="宋体" w:hAnsi="宋体" w:eastAsia="宋体" w:cs="宋体"/>
                <w:i w:val="0"/>
                <w:iCs w:val="0"/>
                <w:snapToGrid w:val="0"/>
                <w:color w:val="000000"/>
                <w:kern w:val="0"/>
                <w:sz w:val="16"/>
                <w:szCs w:val="16"/>
                <w:highlight w:val="none"/>
                <w:u w:val="none"/>
                <w:lang w:val="en-US" w:eastAsia="zh-CN" w:bidi="ar"/>
              </w:rPr>
              <w:t>持续提高</w:t>
            </w:r>
          </w:p>
        </w:tc>
        <w:tc>
          <w:tcPr>
            <w:tcW w:w="569" w:type="dxa"/>
            <w:vAlign w:val="center"/>
          </w:tcPr>
          <w:p>
            <w:pPr>
              <w:pStyle w:val="8"/>
              <w:spacing w:line="180" w:lineRule="exact"/>
              <w:jc w:val="center"/>
              <w:rPr>
                <w:rFonts w:hint="eastAsia" w:ascii="Arial" w:hAnsi="Arial" w:eastAsia="宋体" w:cs="Arial"/>
                <w:snapToGrid w:val="0"/>
                <w:color w:val="000000"/>
                <w:kern w:val="0"/>
                <w:sz w:val="16"/>
                <w:szCs w:val="16"/>
                <w:highlight w:val="none"/>
                <w:lang w:val="en-US" w:eastAsia="zh-CN" w:bidi="ar-SA"/>
              </w:rPr>
            </w:pPr>
            <w:r>
              <w:rPr>
                <w:rFonts w:hint="eastAsia" w:eastAsia="宋体"/>
                <w:sz w:val="16"/>
                <w:szCs w:val="16"/>
                <w:highlight w:val="none"/>
                <w:lang w:val="en-US" w:eastAsia="zh-CN"/>
              </w:rPr>
              <w:t>5</w:t>
            </w:r>
          </w:p>
        </w:tc>
        <w:tc>
          <w:tcPr>
            <w:tcW w:w="518" w:type="dxa"/>
            <w:vAlign w:val="center"/>
          </w:tcPr>
          <w:p>
            <w:pPr>
              <w:pStyle w:val="8"/>
              <w:spacing w:line="170" w:lineRule="exact"/>
              <w:jc w:val="center"/>
              <w:rPr>
                <w:rFonts w:hint="eastAsia" w:eastAsia="宋体"/>
                <w:sz w:val="16"/>
                <w:szCs w:val="16"/>
                <w:highlight w:val="none"/>
                <w:lang w:val="en-US" w:eastAsia="zh-CN"/>
              </w:rPr>
            </w:pPr>
            <w:r>
              <w:rPr>
                <w:rFonts w:hint="eastAsia" w:eastAsia="宋体"/>
                <w:sz w:val="16"/>
                <w:szCs w:val="16"/>
                <w:highlight w:val="none"/>
                <w:lang w:val="en-US" w:eastAsia="zh-CN"/>
              </w:rPr>
              <w:t>5</w:t>
            </w:r>
          </w:p>
        </w:tc>
        <w:tc>
          <w:tcPr>
            <w:tcW w:w="2114" w:type="dxa"/>
            <w:gridSpan w:val="2"/>
            <w:vAlign w:val="center"/>
          </w:tcPr>
          <w:p>
            <w:pPr>
              <w:pStyle w:val="8"/>
              <w:spacing w:line="17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jc w:val="center"/>
        </w:trPr>
        <w:tc>
          <w:tcPr>
            <w:tcW w:w="384" w:type="dxa"/>
            <w:vMerge w:val="continue"/>
            <w:textDirection w:val="tbRlV"/>
            <w:vAlign w:val="center"/>
          </w:tcPr>
          <w:p>
            <w:pPr>
              <w:pStyle w:val="8"/>
              <w:rPr>
                <w:sz w:val="21"/>
              </w:rPr>
            </w:pPr>
          </w:p>
        </w:tc>
        <w:tc>
          <w:tcPr>
            <w:tcW w:w="370" w:type="dxa"/>
            <w:vMerge w:val="continue"/>
            <w:tcBorders>
              <w:top w:val="nil"/>
              <w:bottom w:val="nil"/>
            </w:tcBorders>
            <w:textDirection w:val="tbRlV"/>
            <w:vAlign w:val="center"/>
          </w:tcPr>
          <w:p>
            <w:pPr>
              <w:pStyle w:val="8"/>
              <w:jc w:val="center"/>
              <w:rPr>
                <w:sz w:val="16"/>
                <w:szCs w:val="16"/>
              </w:rPr>
            </w:pPr>
          </w:p>
        </w:tc>
        <w:tc>
          <w:tcPr>
            <w:tcW w:w="896" w:type="dxa"/>
            <w:tcBorders>
              <w:bottom w:val="nil"/>
            </w:tcBorders>
            <w:vAlign w:val="center"/>
          </w:tcPr>
          <w:p>
            <w:pPr>
              <w:spacing w:before="146" w:line="208" w:lineRule="auto"/>
              <w:ind w:left="230" w:right="85" w:hanging="160"/>
              <w:jc w:val="center"/>
              <w:rPr>
                <w:rFonts w:ascii="宋体" w:hAnsi="宋体" w:eastAsia="宋体" w:cs="宋体"/>
                <w:sz w:val="16"/>
                <w:szCs w:val="16"/>
              </w:rPr>
            </w:pPr>
            <w:r>
              <w:rPr>
                <w:rFonts w:ascii="宋体" w:hAnsi="宋体" w:eastAsia="宋体" w:cs="宋体"/>
                <w:spacing w:val="-2"/>
                <w:sz w:val="16"/>
                <w:szCs w:val="16"/>
              </w:rPr>
              <w:t>生态效益</w:t>
            </w:r>
            <w:r>
              <w:rPr>
                <w:rFonts w:ascii="宋体" w:hAnsi="宋体" w:eastAsia="宋体" w:cs="宋体"/>
                <w:sz w:val="16"/>
                <w:szCs w:val="16"/>
              </w:rPr>
              <w:t xml:space="preserve"> </w:t>
            </w:r>
            <w:r>
              <w:rPr>
                <w:rFonts w:ascii="宋体" w:hAnsi="宋体" w:eastAsia="宋体" w:cs="宋体"/>
                <w:spacing w:val="-3"/>
                <w:sz w:val="16"/>
                <w:szCs w:val="16"/>
              </w:rPr>
              <w:t>指标</w:t>
            </w:r>
          </w:p>
        </w:tc>
        <w:tc>
          <w:tcPr>
            <w:tcW w:w="2540" w:type="dxa"/>
            <w:gridSpan w:val="2"/>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居民生活环境</w:t>
            </w:r>
          </w:p>
        </w:tc>
        <w:tc>
          <w:tcPr>
            <w:tcW w:w="909" w:type="dxa"/>
            <w:vAlign w:val="center"/>
          </w:tcPr>
          <w:p>
            <w:pPr>
              <w:pStyle w:val="8"/>
              <w:spacing w:line="170" w:lineRule="exact"/>
              <w:jc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持续改善</w:t>
            </w:r>
          </w:p>
        </w:tc>
        <w:tc>
          <w:tcPr>
            <w:tcW w:w="909" w:type="dxa"/>
            <w:vAlign w:val="center"/>
          </w:tcPr>
          <w:p>
            <w:pPr>
              <w:pStyle w:val="8"/>
              <w:spacing w:line="170" w:lineRule="exact"/>
              <w:jc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持续改善</w:t>
            </w:r>
          </w:p>
        </w:tc>
        <w:tc>
          <w:tcPr>
            <w:tcW w:w="569" w:type="dxa"/>
            <w:vAlign w:val="center"/>
          </w:tcPr>
          <w:p>
            <w:pPr>
              <w:pStyle w:val="8"/>
              <w:spacing w:line="170" w:lineRule="exact"/>
              <w:jc w:val="center"/>
              <w:rPr>
                <w:rFonts w:hint="eastAsia" w:ascii="Arial" w:hAnsi="Arial" w:eastAsia="宋体" w:cs="Arial"/>
                <w:snapToGrid w:val="0"/>
                <w:color w:val="000000"/>
                <w:kern w:val="0"/>
                <w:sz w:val="16"/>
                <w:szCs w:val="16"/>
                <w:highlight w:val="none"/>
                <w:lang w:val="en-US" w:eastAsia="zh-CN" w:bidi="ar-SA"/>
              </w:rPr>
            </w:pPr>
            <w:r>
              <w:rPr>
                <w:rFonts w:hint="eastAsia" w:eastAsia="宋体"/>
                <w:sz w:val="16"/>
                <w:szCs w:val="16"/>
                <w:highlight w:val="none"/>
                <w:lang w:val="en-US" w:eastAsia="zh-CN"/>
              </w:rPr>
              <w:t>5</w:t>
            </w:r>
          </w:p>
        </w:tc>
        <w:tc>
          <w:tcPr>
            <w:tcW w:w="518" w:type="dxa"/>
            <w:vAlign w:val="center"/>
          </w:tcPr>
          <w:p>
            <w:pPr>
              <w:pStyle w:val="8"/>
              <w:spacing w:line="170" w:lineRule="exact"/>
              <w:jc w:val="center"/>
              <w:rPr>
                <w:rFonts w:hint="eastAsia" w:eastAsia="宋体"/>
                <w:sz w:val="16"/>
                <w:szCs w:val="16"/>
                <w:highlight w:val="none"/>
                <w:lang w:val="en-US" w:eastAsia="zh-CN"/>
              </w:rPr>
            </w:pPr>
            <w:r>
              <w:rPr>
                <w:rFonts w:hint="eastAsia" w:eastAsia="宋体"/>
                <w:sz w:val="16"/>
                <w:szCs w:val="16"/>
                <w:highlight w:val="none"/>
                <w:lang w:val="en-US" w:eastAsia="zh-CN"/>
              </w:rPr>
              <w:t>5</w:t>
            </w:r>
          </w:p>
        </w:tc>
        <w:tc>
          <w:tcPr>
            <w:tcW w:w="2114" w:type="dxa"/>
            <w:gridSpan w:val="2"/>
            <w:vAlign w:val="center"/>
          </w:tcPr>
          <w:p>
            <w:pPr>
              <w:pStyle w:val="8"/>
              <w:spacing w:line="170" w:lineRule="exact"/>
              <w:jc w:val="center"/>
              <w:rPr>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extDirection w:val="tbRlV"/>
            <w:vAlign w:val="center"/>
          </w:tcPr>
          <w:p>
            <w:pPr>
              <w:pStyle w:val="8"/>
              <w:rPr>
                <w:sz w:val="21"/>
              </w:rPr>
            </w:pPr>
          </w:p>
        </w:tc>
        <w:tc>
          <w:tcPr>
            <w:tcW w:w="370" w:type="dxa"/>
            <w:vMerge w:val="continue"/>
            <w:tcBorders>
              <w:top w:val="nil"/>
            </w:tcBorders>
            <w:vAlign w:val="center"/>
          </w:tcPr>
          <w:p>
            <w:pPr>
              <w:pStyle w:val="8"/>
              <w:jc w:val="center"/>
              <w:rPr>
                <w:sz w:val="16"/>
                <w:szCs w:val="16"/>
              </w:rPr>
            </w:pPr>
          </w:p>
        </w:tc>
        <w:tc>
          <w:tcPr>
            <w:tcW w:w="896" w:type="dxa"/>
            <w:vAlign w:val="center"/>
          </w:tcPr>
          <w:p>
            <w:pPr>
              <w:spacing w:before="84" w:line="177" w:lineRule="auto"/>
              <w:ind w:left="361"/>
              <w:jc w:val="both"/>
              <w:rPr>
                <w:rFonts w:ascii="宋体" w:hAnsi="宋体" w:eastAsia="宋体" w:cs="宋体"/>
                <w:sz w:val="16"/>
                <w:szCs w:val="16"/>
              </w:rPr>
            </w:pPr>
            <w:r>
              <w:rPr>
                <w:rFonts w:ascii="宋体" w:hAnsi="宋体" w:eastAsia="宋体" w:cs="宋体"/>
                <w:sz w:val="16"/>
                <w:szCs w:val="16"/>
              </w:rPr>
              <w:t>*</w:t>
            </w:r>
          </w:p>
        </w:tc>
        <w:tc>
          <w:tcPr>
            <w:tcW w:w="2540" w:type="dxa"/>
            <w:gridSpan w:val="2"/>
            <w:vAlign w:val="center"/>
          </w:tcPr>
          <w:p>
            <w:pPr>
              <w:pStyle w:val="8"/>
              <w:spacing w:line="180" w:lineRule="exact"/>
              <w:jc w:val="center"/>
              <w:rPr>
                <w:sz w:val="16"/>
                <w:szCs w:val="16"/>
              </w:rPr>
            </w:pPr>
          </w:p>
        </w:tc>
        <w:tc>
          <w:tcPr>
            <w:tcW w:w="909" w:type="dxa"/>
            <w:vAlign w:val="center"/>
          </w:tcPr>
          <w:p>
            <w:pPr>
              <w:pStyle w:val="8"/>
              <w:spacing w:line="180" w:lineRule="exact"/>
              <w:jc w:val="center"/>
              <w:rPr>
                <w:sz w:val="16"/>
                <w:szCs w:val="16"/>
              </w:rPr>
            </w:pPr>
          </w:p>
        </w:tc>
        <w:tc>
          <w:tcPr>
            <w:tcW w:w="909" w:type="dxa"/>
            <w:vAlign w:val="center"/>
          </w:tcPr>
          <w:p>
            <w:pPr>
              <w:pStyle w:val="8"/>
              <w:spacing w:line="180" w:lineRule="exact"/>
              <w:jc w:val="center"/>
              <w:rPr>
                <w:sz w:val="16"/>
                <w:szCs w:val="16"/>
              </w:rPr>
            </w:pPr>
          </w:p>
        </w:tc>
        <w:tc>
          <w:tcPr>
            <w:tcW w:w="569" w:type="dxa"/>
            <w:vAlign w:val="center"/>
          </w:tcPr>
          <w:p>
            <w:pPr>
              <w:pStyle w:val="8"/>
              <w:spacing w:line="180" w:lineRule="exact"/>
              <w:jc w:val="center"/>
              <w:rPr>
                <w:rFonts w:hint="default" w:eastAsia="宋体"/>
                <w:sz w:val="16"/>
                <w:szCs w:val="16"/>
                <w:highlight w:val="yellow"/>
                <w:lang w:val="en-US" w:eastAsia="zh-CN"/>
              </w:rPr>
            </w:pPr>
          </w:p>
        </w:tc>
        <w:tc>
          <w:tcPr>
            <w:tcW w:w="518" w:type="dxa"/>
            <w:vAlign w:val="center"/>
          </w:tcPr>
          <w:p>
            <w:pPr>
              <w:pStyle w:val="8"/>
              <w:spacing w:line="180" w:lineRule="exact"/>
              <w:jc w:val="center"/>
              <w:rPr>
                <w:rFonts w:hint="default" w:eastAsia="宋体"/>
                <w:sz w:val="16"/>
                <w:szCs w:val="16"/>
                <w:highlight w:val="yellow"/>
                <w:lang w:val="en-US" w:eastAsia="zh-CN"/>
              </w:rPr>
            </w:pPr>
          </w:p>
        </w:tc>
        <w:tc>
          <w:tcPr>
            <w:tcW w:w="2114" w:type="dxa"/>
            <w:gridSpan w:val="2"/>
            <w:vAlign w:val="center"/>
          </w:tcPr>
          <w:p>
            <w:pPr>
              <w:pStyle w:val="8"/>
              <w:spacing w:line="180" w:lineRule="exact"/>
              <w:jc w:val="center"/>
              <w:rPr>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extDirection w:val="tbRlV"/>
            <w:vAlign w:val="center"/>
          </w:tcPr>
          <w:p>
            <w:pPr>
              <w:pStyle w:val="8"/>
              <w:rPr>
                <w:sz w:val="21"/>
              </w:rPr>
            </w:pPr>
          </w:p>
        </w:tc>
        <w:tc>
          <w:tcPr>
            <w:tcW w:w="370" w:type="dxa"/>
            <w:tcBorders>
              <w:top w:val="nil"/>
            </w:tcBorders>
            <w:vAlign w:val="center"/>
          </w:tcPr>
          <w:p>
            <w:pPr>
              <w:rPr>
                <w:rFonts w:hint="eastAsia" w:ascii="宋体" w:hAnsi="宋体" w:eastAsia="宋体" w:cs="宋体"/>
                <w:sz w:val="16"/>
                <w:szCs w:val="16"/>
              </w:rPr>
            </w:pPr>
            <w:r>
              <w:rPr>
                <w:rFonts w:hint="eastAsia" w:ascii="宋体" w:hAnsi="宋体" w:eastAsia="宋体" w:cs="宋体"/>
                <w:sz w:val="16"/>
                <w:szCs w:val="16"/>
              </w:rPr>
              <w:t>满意</w:t>
            </w:r>
          </w:p>
          <w:p>
            <w:pPr>
              <w:rPr>
                <w:rFonts w:hint="eastAsia" w:ascii="宋体" w:hAnsi="宋体" w:eastAsia="宋体" w:cs="宋体"/>
                <w:sz w:val="16"/>
                <w:szCs w:val="16"/>
              </w:rPr>
            </w:pPr>
            <w:r>
              <w:rPr>
                <w:rFonts w:hint="eastAsia" w:ascii="宋体" w:hAnsi="宋体" w:eastAsia="宋体" w:cs="宋体"/>
                <w:sz w:val="16"/>
                <w:szCs w:val="16"/>
              </w:rPr>
              <w:t>度指</w:t>
            </w:r>
          </w:p>
          <w:p>
            <w:pPr>
              <w:pStyle w:val="8"/>
              <w:jc w:val="center"/>
              <w:rPr>
                <w:sz w:val="16"/>
                <w:szCs w:val="16"/>
              </w:rPr>
            </w:pPr>
            <w:r>
              <w:rPr>
                <w:rFonts w:hint="eastAsia" w:ascii="宋体" w:hAnsi="宋体" w:eastAsia="宋体" w:cs="宋体"/>
                <w:sz w:val="16"/>
                <w:szCs w:val="16"/>
              </w:rPr>
              <w:t>标</w:t>
            </w:r>
          </w:p>
        </w:tc>
        <w:tc>
          <w:tcPr>
            <w:tcW w:w="896" w:type="dxa"/>
            <w:vAlign w:val="center"/>
          </w:tcPr>
          <w:p>
            <w:pPr>
              <w:rPr>
                <w:rFonts w:hint="eastAsia" w:ascii="宋体" w:hAnsi="宋体" w:eastAsia="宋体" w:cs="宋体"/>
                <w:sz w:val="16"/>
                <w:szCs w:val="16"/>
              </w:rPr>
            </w:pPr>
            <w:r>
              <w:rPr>
                <w:rFonts w:hint="eastAsia" w:ascii="宋体" w:hAnsi="宋体" w:eastAsia="宋体" w:cs="宋体"/>
                <w:sz w:val="16"/>
                <w:szCs w:val="16"/>
              </w:rPr>
              <w:t>服务对象</w:t>
            </w:r>
          </w:p>
          <w:p>
            <w:pPr>
              <w:rPr>
                <w:rFonts w:hint="eastAsia" w:ascii="宋体" w:hAnsi="宋体" w:eastAsia="宋体" w:cs="宋体"/>
                <w:sz w:val="16"/>
                <w:szCs w:val="16"/>
              </w:rPr>
            </w:pPr>
            <w:r>
              <w:rPr>
                <w:rFonts w:hint="eastAsia" w:ascii="宋体" w:hAnsi="宋体" w:eastAsia="宋体" w:cs="宋体"/>
                <w:sz w:val="16"/>
                <w:szCs w:val="16"/>
              </w:rPr>
              <w:t>满意度指</w:t>
            </w:r>
          </w:p>
          <w:p>
            <w:pPr>
              <w:spacing w:before="84" w:line="177" w:lineRule="auto"/>
              <w:jc w:val="both"/>
              <w:rPr>
                <w:rFonts w:ascii="宋体" w:hAnsi="宋体" w:eastAsia="宋体" w:cs="宋体"/>
                <w:sz w:val="16"/>
                <w:szCs w:val="16"/>
              </w:rPr>
            </w:pPr>
            <w:r>
              <w:rPr>
                <w:rFonts w:hint="eastAsia" w:ascii="宋体" w:hAnsi="宋体" w:eastAsia="宋体" w:cs="宋体"/>
                <w:sz w:val="16"/>
                <w:szCs w:val="16"/>
              </w:rPr>
              <w:t>标</w:t>
            </w:r>
          </w:p>
        </w:tc>
        <w:tc>
          <w:tcPr>
            <w:tcW w:w="2540" w:type="dxa"/>
            <w:gridSpan w:val="2"/>
            <w:vAlign w:val="center"/>
          </w:tcPr>
          <w:p>
            <w:pPr>
              <w:pStyle w:val="8"/>
              <w:spacing w:line="180" w:lineRule="exact"/>
              <w:jc w:val="center"/>
              <w:rPr>
                <w:sz w:val="16"/>
                <w:szCs w:val="16"/>
              </w:rPr>
            </w:pPr>
            <w:r>
              <w:rPr>
                <w:rFonts w:hint="eastAsia" w:ascii="宋体" w:hAnsi="宋体" w:eastAsia="宋体" w:cs="宋体"/>
                <w:sz w:val="16"/>
                <w:szCs w:val="16"/>
              </w:rPr>
              <w:t>受益对象满意度</w:t>
            </w:r>
          </w:p>
        </w:tc>
        <w:tc>
          <w:tcPr>
            <w:tcW w:w="909" w:type="dxa"/>
            <w:vAlign w:val="center"/>
          </w:tcPr>
          <w:p>
            <w:pPr>
              <w:pStyle w:val="8"/>
              <w:spacing w:line="180" w:lineRule="exact"/>
              <w:jc w:val="center"/>
              <w:rPr>
                <w:rFonts w:hint="eastAsia" w:eastAsia="宋体"/>
                <w:sz w:val="16"/>
                <w:szCs w:val="16"/>
                <w:highlight w:val="none"/>
                <w:lang w:eastAsia="zh-CN"/>
              </w:rPr>
            </w:pPr>
            <w:r>
              <w:rPr>
                <w:rFonts w:hint="eastAsia" w:eastAsia="宋体"/>
                <w:sz w:val="16"/>
                <w:szCs w:val="16"/>
                <w:highlight w:val="none"/>
                <w:lang w:eastAsia="zh-CN"/>
              </w:rPr>
              <w:t>满意</w:t>
            </w:r>
          </w:p>
        </w:tc>
        <w:tc>
          <w:tcPr>
            <w:tcW w:w="909" w:type="dxa"/>
            <w:vAlign w:val="center"/>
          </w:tcPr>
          <w:p>
            <w:pPr>
              <w:pStyle w:val="8"/>
              <w:spacing w:line="180" w:lineRule="exact"/>
              <w:jc w:val="center"/>
              <w:rPr>
                <w:rFonts w:hint="eastAsia" w:eastAsia="宋体"/>
                <w:sz w:val="16"/>
                <w:szCs w:val="16"/>
                <w:highlight w:val="none"/>
                <w:lang w:eastAsia="zh-CN"/>
              </w:rPr>
            </w:pPr>
            <w:r>
              <w:rPr>
                <w:rFonts w:hint="eastAsia" w:eastAsia="宋体"/>
                <w:sz w:val="16"/>
                <w:szCs w:val="16"/>
                <w:highlight w:val="none"/>
                <w:lang w:eastAsia="zh-CN"/>
              </w:rPr>
              <w:t>满意</w:t>
            </w:r>
          </w:p>
        </w:tc>
        <w:tc>
          <w:tcPr>
            <w:tcW w:w="569" w:type="dxa"/>
            <w:vAlign w:val="center"/>
          </w:tcPr>
          <w:p>
            <w:pPr>
              <w:pStyle w:val="8"/>
              <w:spacing w:line="18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5</w:t>
            </w:r>
          </w:p>
        </w:tc>
        <w:tc>
          <w:tcPr>
            <w:tcW w:w="518" w:type="dxa"/>
            <w:vAlign w:val="center"/>
          </w:tcPr>
          <w:p>
            <w:pPr>
              <w:pStyle w:val="8"/>
              <w:spacing w:line="180" w:lineRule="exact"/>
              <w:jc w:val="center"/>
              <w:rPr>
                <w:rFonts w:hint="default" w:eastAsia="宋体"/>
                <w:sz w:val="16"/>
                <w:szCs w:val="16"/>
                <w:highlight w:val="none"/>
                <w:lang w:val="en-US" w:eastAsia="zh-CN"/>
              </w:rPr>
            </w:pPr>
            <w:r>
              <w:rPr>
                <w:rFonts w:hint="eastAsia" w:eastAsia="宋体"/>
                <w:sz w:val="16"/>
                <w:szCs w:val="16"/>
                <w:highlight w:val="none"/>
                <w:lang w:val="en-US" w:eastAsia="zh-CN"/>
              </w:rPr>
              <w:t>5</w:t>
            </w:r>
          </w:p>
        </w:tc>
        <w:tc>
          <w:tcPr>
            <w:tcW w:w="2114" w:type="dxa"/>
            <w:gridSpan w:val="2"/>
            <w:vAlign w:val="center"/>
          </w:tcPr>
          <w:p>
            <w:pPr>
              <w:pStyle w:val="8"/>
              <w:spacing w:line="180" w:lineRule="exact"/>
              <w:jc w:val="center"/>
              <w:rPr>
                <w:sz w:val="16"/>
                <w:szCs w:val="16"/>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6008" w:type="dxa"/>
            <w:gridSpan w:val="7"/>
            <w:vAlign w:val="center"/>
          </w:tcPr>
          <w:p>
            <w:pPr>
              <w:spacing w:before="47" w:line="211" w:lineRule="auto"/>
              <w:ind w:left="2864"/>
              <w:rPr>
                <w:rFonts w:ascii="宋体" w:hAnsi="宋体" w:eastAsia="宋体" w:cs="宋体"/>
                <w:sz w:val="16"/>
                <w:szCs w:val="16"/>
              </w:rPr>
            </w:pPr>
            <w:r>
              <w:rPr>
                <w:rFonts w:ascii="宋体" w:hAnsi="宋体" w:eastAsia="宋体" w:cs="宋体"/>
                <w:spacing w:val="-3"/>
                <w:sz w:val="16"/>
                <w:szCs w:val="16"/>
              </w:rPr>
              <w:t>总分</w:t>
            </w:r>
          </w:p>
        </w:tc>
        <w:tc>
          <w:tcPr>
            <w:tcW w:w="569" w:type="dxa"/>
            <w:vAlign w:val="center"/>
          </w:tcPr>
          <w:p>
            <w:pPr>
              <w:spacing w:before="87" w:line="165" w:lineRule="auto"/>
              <w:ind w:left="157"/>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18" w:type="dxa"/>
            <w:vAlign w:val="center"/>
          </w:tcPr>
          <w:p>
            <w:pPr>
              <w:pStyle w:val="8"/>
              <w:spacing w:line="230" w:lineRule="exact"/>
              <w:rPr>
                <w:rFonts w:hint="default" w:eastAsia="宋体"/>
                <w:sz w:val="20"/>
                <w:lang w:val="en-US" w:eastAsia="zh-CN"/>
              </w:rPr>
            </w:pPr>
            <w:r>
              <w:rPr>
                <w:rFonts w:hint="eastAsia" w:eastAsia="宋体"/>
                <w:sz w:val="16"/>
                <w:szCs w:val="16"/>
                <w:highlight w:val="none"/>
                <w:lang w:val="en-US" w:eastAsia="zh-CN"/>
              </w:rPr>
              <w:t>86.2</w:t>
            </w:r>
          </w:p>
        </w:tc>
        <w:tc>
          <w:tcPr>
            <w:tcW w:w="2114" w:type="dxa"/>
            <w:gridSpan w:val="2"/>
            <w:vAlign w:val="center"/>
          </w:tcPr>
          <w:p>
            <w:pPr>
              <w:pStyle w:val="8"/>
              <w:spacing w:line="230" w:lineRule="exact"/>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jc w:val="center"/>
        </w:trPr>
        <w:tc>
          <w:tcPr>
            <w:tcW w:w="1650" w:type="dxa"/>
            <w:gridSpan w:val="3"/>
            <w:vAlign w:val="center"/>
          </w:tcPr>
          <w:p>
            <w:pPr>
              <w:spacing w:before="106" w:line="219" w:lineRule="auto"/>
              <w:jc w:val="center"/>
              <w:rPr>
                <w:rFonts w:ascii="宋体" w:hAnsi="宋体" w:eastAsia="宋体" w:cs="宋体"/>
                <w:sz w:val="16"/>
                <w:szCs w:val="16"/>
              </w:rPr>
            </w:pPr>
            <w:r>
              <w:rPr>
                <w:rFonts w:ascii="宋体" w:hAnsi="宋体" w:eastAsia="宋体" w:cs="宋体"/>
                <w:spacing w:val="8"/>
                <w:sz w:val="16"/>
                <w:szCs w:val="16"/>
              </w:rPr>
              <w:t>说明</w:t>
            </w:r>
          </w:p>
        </w:tc>
        <w:tc>
          <w:tcPr>
            <w:tcW w:w="7559" w:type="dxa"/>
            <w:gridSpan w:val="8"/>
            <w:vAlign w:val="center"/>
          </w:tcPr>
          <w:p>
            <w:pPr>
              <w:spacing w:before="16" w:line="185" w:lineRule="auto"/>
              <w:ind w:left="11"/>
              <w:rPr>
                <w:rFonts w:hint="eastAsia" w:ascii="宋体" w:hAnsi="宋体" w:eastAsia="宋体" w:cs="宋体"/>
                <w:sz w:val="17"/>
                <w:szCs w:val="17"/>
                <w:lang w:eastAsia="zh-CN"/>
              </w:rPr>
            </w:pPr>
            <w:r>
              <w:rPr>
                <w:rFonts w:hint="eastAsia" w:ascii="宋体" w:hAnsi="宋体" w:eastAsia="宋体" w:cs="宋体"/>
                <w:spacing w:val="-4"/>
                <w:sz w:val="16"/>
                <w:szCs w:val="16"/>
                <w:lang w:eastAsia="zh-CN"/>
              </w:rPr>
              <w:t>无</w:t>
            </w:r>
          </w:p>
        </w:tc>
      </w:tr>
    </w:tbl>
    <w:p>
      <w:pPr>
        <w:spacing w:before="19" w:line="219" w:lineRule="auto"/>
        <w:rPr>
          <w:rFonts w:ascii="宋体" w:hAnsi="宋体" w:eastAsia="宋体" w:cs="宋体"/>
          <w:sz w:val="16"/>
          <w:szCs w:val="16"/>
        </w:rPr>
      </w:pPr>
      <w:r>
        <w:rPr>
          <w:rFonts w:ascii="宋体" w:hAnsi="宋体" w:eastAsia="宋体" w:cs="宋体"/>
          <w:sz w:val="16"/>
          <w:szCs w:val="16"/>
        </w:rPr>
        <w:t>注：1.该表由中央主管部门填写，</w:t>
      </w:r>
    </w:p>
    <w:p>
      <w:pPr>
        <w:spacing w:before="69" w:line="219" w:lineRule="auto"/>
        <w:ind w:left="280"/>
        <w:rPr>
          <w:rFonts w:ascii="宋体" w:hAnsi="宋体" w:eastAsia="宋体" w:cs="宋体"/>
          <w:sz w:val="16"/>
          <w:szCs w:val="16"/>
        </w:rPr>
      </w:pPr>
      <w:r>
        <w:rPr>
          <w:rFonts w:ascii="宋体" w:hAnsi="宋体" w:eastAsia="宋体" w:cs="宋体"/>
          <w:spacing w:val="-6"/>
          <w:sz w:val="16"/>
          <w:szCs w:val="16"/>
        </w:rPr>
        <w:t>2.其他资金包括与中央财政资金、地方财政资金共同投入的自有</w:t>
      </w:r>
      <w:r>
        <w:rPr>
          <w:rFonts w:ascii="宋体" w:hAnsi="宋体" w:eastAsia="宋体" w:cs="宋体"/>
          <w:spacing w:val="-7"/>
          <w:sz w:val="16"/>
          <w:szCs w:val="16"/>
        </w:rPr>
        <w:t>资金、社会资金，以及以前年度的结转结余资金等。</w:t>
      </w:r>
    </w:p>
    <w:p>
      <w:pPr>
        <w:spacing w:before="50" w:line="208" w:lineRule="auto"/>
        <w:ind w:left="280"/>
        <w:rPr>
          <w:rFonts w:ascii="宋体" w:hAnsi="宋体" w:eastAsia="宋体" w:cs="宋体"/>
          <w:sz w:val="16"/>
          <w:szCs w:val="16"/>
        </w:rPr>
      </w:pPr>
      <w:r>
        <w:rPr>
          <w:rFonts w:ascii="宋体" w:hAnsi="宋体" w:eastAsia="宋体" w:cs="宋体"/>
          <w:spacing w:val="-7"/>
          <w:sz w:val="16"/>
          <w:szCs w:val="16"/>
        </w:rPr>
        <w:t>3.资金管理情况需汇总反映各级政府的资金管理情况，对违反预算管理规定行为的，原则上每发现1例扣0.5分，扣完</w:t>
      </w:r>
      <w:r>
        <w:rPr>
          <w:rFonts w:ascii="宋体" w:hAnsi="宋体" w:eastAsia="宋体" w:cs="宋体"/>
          <w:spacing w:val="-8"/>
          <w:sz w:val="16"/>
          <w:szCs w:val="16"/>
        </w:rPr>
        <w:t>为止。</w:t>
      </w:r>
    </w:p>
    <w:p>
      <w:pPr>
        <w:spacing w:before="1" w:line="213" w:lineRule="auto"/>
        <w:ind w:left="9" w:right="155" w:firstLine="270"/>
        <w:rPr>
          <w:rFonts w:ascii="宋体" w:hAnsi="宋体" w:eastAsia="宋体" w:cs="宋体"/>
          <w:sz w:val="16"/>
          <w:szCs w:val="16"/>
        </w:rPr>
      </w:pPr>
      <w:r>
        <w:rPr>
          <w:rFonts w:ascii="宋体" w:hAnsi="宋体" w:eastAsia="宋体" w:cs="宋体"/>
          <w:spacing w:val="-5"/>
          <w:sz w:val="16"/>
          <w:szCs w:val="16"/>
        </w:rPr>
        <w:t>4. 专项转移支付无需填写“支出责任展行情况”项，相关分值(5分)分排到“分</w:t>
      </w:r>
      <w:r>
        <w:rPr>
          <w:rFonts w:ascii="宋体" w:hAnsi="宋体" w:eastAsia="宋体" w:cs="宋体"/>
          <w:spacing w:val="-6"/>
          <w:sz w:val="16"/>
          <w:szCs w:val="16"/>
        </w:rPr>
        <w:t>配科学性”、“下达及时性”、“拨付合规性”、</w:t>
      </w:r>
      <w:r>
        <w:rPr>
          <w:rFonts w:ascii="宋体" w:hAnsi="宋体" w:eastAsia="宋体" w:cs="宋体"/>
          <w:sz w:val="16"/>
          <w:szCs w:val="16"/>
        </w:rPr>
        <w:t xml:space="preserve"> </w:t>
      </w:r>
      <w:r>
        <w:rPr>
          <w:rFonts w:ascii="宋体" w:hAnsi="宋体" w:eastAsia="宋体" w:cs="宋体"/>
          <w:spacing w:val="-9"/>
          <w:sz w:val="16"/>
          <w:szCs w:val="16"/>
        </w:rPr>
        <w:t>“使用规范性”和“政策目标实现情况”等5项上。</w:t>
      </w:r>
    </w:p>
    <w:p>
      <w:pPr>
        <w:spacing w:before="31" w:line="228" w:lineRule="auto"/>
        <w:ind w:left="20" w:right="55" w:firstLine="260"/>
        <w:rPr>
          <w:rFonts w:ascii="宋体" w:hAnsi="宋体" w:eastAsia="宋体" w:cs="宋体"/>
          <w:sz w:val="16"/>
          <w:szCs w:val="16"/>
        </w:rPr>
      </w:pPr>
      <w:r>
        <w:rPr>
          <w:rFonts w:ascii="宋体" w:hAnsi="宋体" w:eastAsia="宋体" w:cs="宋体"/>
          <w:spacing w:val="-8"/>
          <w:sz w:val="16"/>
          <w:szCs w:val="16"/>
        </w:rPr>
        <w:t>5.</w:t>
      </w:r>
      <w:r>
        <w:rPr>
          <w:rFonts w:ascii="宋体" w:hAnsi="宋体" w:eastAsia="宋体" w:cs="宋体"/>
          <w:spacing w:val="-21"/>
          <w:sz w:val="16"/>
          <w:szCs w:val="16"/>
        </w:rPr>
        <w:t xml:space="preserve"> </w:t>
      </w:r>
      <w:r>
        <w:rPr>
          <w:rFonts w:ascii="宋体" w:hAnsi="宋体" w:eastAsia="宋体" w:cs="宋体"/>
          <w:spacing w:val="-8"/>
          <w:sz w:val="16"/>
          <w:szCs w:val="16"/>
        </w:rPr>
        <w:t>中央主管部门商财政部主管司局确定各项绩效指标分值权里，并根据全年实际完成情况填写得分，各项指标得分加总形成该转移支</w:t>
      </w:r>
      <w:r>
        <w:rPr>
          <w:rFonts w:ascii="宋体" w:hAnsi="宋体" w:eastAsia="宋体" w:cs="宋体"/>
          <w:sz w:val="16"/>
          <w:szCs w:val="16"/>
        </w:rPr>
        <w:t xml:space="preserve"> </w:t>
      </w:r>
      <w:r>
        <w:rPr>
          <w:rFonts w:ascii="宋体" w:hAnsi="宋体" w:eastAsia="宋体" w:cs="宋体"/>
          <w:spacing w:val="-7"/>
          <w:sz w:val="16"/>
          <w:szCs w:val="16"/>
        </w:rPr>
        <w:t>付绩效自评总分，原则上，</w:t>
      </w:r>
      <w:r>
        <w:rPr>
          <w:rFonts w:ascii="宋体" w:hAnsi="宋体" w:eastAsia="宋体" w:cs="宋体"/>
          <w:spacing w:val="40"/>
          <w:sz w:val="16"/>
          <w:szCs w:val="16"/>
        </w:rPr>
        <w:t xml:space="preserve"> </w:t>
      </w:r>
      <w:r>
        <w:rPr>
          <w:rFonts w:ascii="宋体" w:hAnsi="宋体" w:eastAsia="宋体" w:cs="宋体"/>
          <w:spacing w:val="-7"/>
          <w:sz w:val="16"/>
          <w:szCs w:val="16"/>
        </w:rPr>
        <w:t>一级指标分值设置为；资金投入情况10</w:t>
      </w:r>
      <w:r>
        <w:rPr>
          <w:rFonts w:ascii="宋体" w:hAnsi="宋体" w:eastAsia="宋体" w:cs="宋体"/>
          <w:spacing w:val="-8"/>
          <w:sz w:val="16"/>
          <w:szCs w:val="16"/>
        </w:rPr>
        <w:t>分、资金管理情况40分、产出指标30分、效益指标15分、满意度指标5</w:t>
      </w:r>
      <w:r>
        <w:rPr>
          <w:rFonts w:ascii="宋体" w:hAnsi="宋体" w:eastAsia="宋体" w:cs="宋体"/>
          <w:sz w:val="16"/>
          <w:szCs w:val="16"/>
        </w:rPr>
        <w:t xml:space="preserve"> </w:t>
      </w:r>
      <w:r>
        <w:rPr>
          <w:rFonts w:ascii="宋体" w:hAnsi="宋体" w:eastAsia="宋体" w:cs="宋体"/>
          <w:spacing w:val="-3"/>
          <w:sz w:val="16"/>
          <w:szCs w:val="16"/>
        </w:rPr>
        <w:t>分。如有特殊情况，除资金投入情况、资金管理情况外，其他指标分值权重可适当调整(</w:t>
      </w:r>
      <w:r>
        <w:rPr>
          <w:rFonts w:ascii="宋体" w:hAnsi="宋体" w:eastAsia="宋体" w:cs="宋体"/>
          <w:spacing w:val="-4"/>
          <w:sz w:val="16"/>
          <w:szCs w:val="16"/>
        </w:rPr>
        <w:t>总分应为100分)。巡视、审计和财会监督中发</w:t>
      </w:r>
      <w:r>
        <w:rPr>
          <w:rFonts w:ascii="宋体" w:hAnsi="宋体" w:eastAsia="宋体" w:cs="宋体"/>
          <w:sz w:val="16"/>
          <w:szCs w:val="16"/>
        </w:rPr>
        <w:t xml:space="preserve"> </w:t>
      </w:r>
      <w:r>
        <w:rPr>
          <w:rFonts w:ascii="宋体" w:hAnsi="宋体" w:eastAsia="宋体" w:cs="宋体"/>
          <w:spacing w:val="-7"/>
          <w:sz w:val="16"/>
          <w:szCs w:val="16"/>
        </w:rPr>
        <w:t>现问题的应酌情扣分。</w:t>
      </w:r>
    </w:p>
    <w:sectPr>
      <w:footerReference r:id="rId6" w:type="default"/>
      <w:pgSz w:w="12060" w:h="16950"/>
      <w:pgMar w:top="1276" w:right="1464" w:bottom="400" w:left="1360" w:header="0" w:footer="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64BE8C4-FA26-4B0E-8938-56D499CE5123}"/>
  </w:font>
  <w:font w:name="黑体">
    <w:panose1 w:val="02010609060101010101"/>
    <w:charset w:val="86"/>
    <w:family w:val="auto"/>
    <w:pitch w:val="default"/>
    <w:sig w:usb0="800002BF" w:usb1="38CF7CFA" w:usb2="00000016" w:usb3="00000000" w:csb0="00040001" w:csb1="00000000"/>
    <w:embedRegular r:id="rId2" w:fontKey="{F341661F-AA2F-45CA-89A1-1F94E5E602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A65324CE-C8A5-4BB9-88B2-076800C285D2}"/>
  </w:font>
  <w:font w:name="方正小标宋简体">
    <w:panose1 w:val="02000000000000000000"/>
    <w:charset w:val="86"/>
    <w:family w:val="roman"/>
    <w:pitch w:val="default"/>
    <w:sig w:usb0="A00002BF" w:usb1="184F6CFA" w:usb2="00000012" w:usb3="00000000" w:csb0="00040001" w:csb1="00000000"/>
    <w:embedRegular r:id="rId4" w:fontKey="{C57997B2-4BFB-4D10-AAF2-DED75C2FA491}"/>
  </w:font>
  <w:font w:name="仿宋_GB2312">
    <w:panose1 w:val="02010609030101010101"/>
    <w:charset w:val="86"/>
    <w:family w:val="auto"/>
    <w:pitch w:val="default"/>
    <w:sig w:usb0="00000001" w:usb1="080E0000" w:usb2="00000000" w:usb3="00000000" w:csb0="00040000" w:csb1="00000000"/>
    <w:embedRegular r:id="rId5" w:fontKey="{178D11A4-23B5-4E56-A92C-1F38CBFAB752}"/>
  </w:font>
  <w:font w:name="楷体_GB2312">
    <w:panose1 w:val="02010609030101010101"/>
    <w:charset w:val="86"/>
    <w:family w:val="auto"/>
    <w:pitch w:val="default"/>
    <w:sig w:usb0="00000001" w:usb1="080E0000" w:usb2="00000000" w:usb3="00000000" w:csb0="00040000" w:csb1="00000000"/>
    <w:embedRegular r:id="rId6" w:fontKey="{A0378F8C-8C3C-4F40-AF3E-C8DC6DEF178D}"/>
  </w:font>
  <w:font w:name="楷体">
    <w:panose1 w:val="02010609060101010101"/>
    <w:charset w:val="86"/>
    <w:family w:val="auto"/>
    <w:pitch w:val="default"/>
    <w:sig w:usb0="800002BF" w:usb1="38CF7CFA" w:usb2="00000016" w:usb3="00000000" w:csb0="00040001" w:csb1="00000000"/>
    <w:embedRegular r:id="rId7" w:fontKey="{06A85DCB-ABCC-46AF-A147-A3F60A7C9C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ind w:left="4174"/>
      <w:rPr>
        <w:rFonts w:ascii="宋体" w:hAnsi="宋体" w:eastAsia="宋体" w:cs="宋体"/>
        <w:sz w:val="15"/>
        <w:szCs w:val="15"/>
      </w:rPr>
    </w:pPr>
    <w:r>
      <w:rPr>
        <w:sz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p>
    <w:pPr>
      <w:spacing w:line="170" w:lineRule="auto"/>
      <w:ind w:left="4174"/>
      <w:rPr>
        <w:rFonts w:ascii="宋体" w:hAnsi="宋体" w:eastAsia="宋体" w:cs="宋体"/>
        <w:sz w:val="15"/>
        <w:szCs w:val="15"/>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CAB7C7"/>
    <w:multiLevelType w:val="singleLevel"/>
    <w:tmpl w:val="04CAB7C7"/>
    <w:lvl w:ilvl="0" w:tentative="0">
      <w:start w:val="2"/>
      <w:numFmt w:val="chineseCounting"/>
      <w:lvlText w:val="(%1)"/>
      <w:lvlJc w:val="left"/>
      <w:pPr>
        <w:tabs>
          <w:tab w:val="left" w:pos="312"/>
        </w:tabs>
      </w:pPr>
      <w:rPr>
        <w:rFonts w:hint="eastAsia"/>
      </w:rPr>
    </w:lvl>
  </w:abstractNum>
  <w:abstractNum w:abstractNumId="1">
    <w:nsid w:val="7F9DBDE0"/>
    <w:multiLevelType w:val="singleLevel"/>
    <w:tmpl w:val="7F9DBDE0"/>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RiOGJkYmZkZjliNTlmNzIxMjZlYjYwY2YxZjJiYWUifQ=="/>
  </w:docVars>
  <w:rsids>
    <w:rsidRoot w:val="00000000"/>
    <w:rsid w:val="02A824AD"/>
    <w:rsid w:val="02D92666"/>
    <w:rsid w:val="03547F3F"/>
    <w:rsid w:val="055C616A"/>
    <w:rsid w:val="08204893"/>
    <w:rsid w:val="08A62ED8"/>
    <w:rsid w:val="08CC67C9"/>
    <w:rsid w:val="0A3463D4"/>
    <w:rsid w:val="0AE222D4"/>
    <w:rsid w:val="0BF85AB1"/>
    <w:rsid w:val="0D7548BC"/>
    <w:rsid w:val="0E1B7FD7"/>
    <w:rsid w:val="104D4694"/>
    <w:rsid w:val="10AC6401"/>
    <w:rsid w:val="11233457"/>
    <w:rsid w:val="13963C5C"/>
    <w:rsid w:val="16B234A2"/>
    <w:rsid w:val="172A4DE7"/>
    <w:rsid w:val="18C748B7"/>
    <w:rsid w:val="1981715C"/>
    <w:rsid w:val="19C05EFD"/>
    <w:rsid w:val="19C854BE"/>
    <w:rsid w:val="1B4013A3"/>
    <w:rsid w:val="1BBF0686"/>
    <w:rsid w:val="1D552DD9"/>
    <w:rsid w:val="1EC43D73"/>
    <w:rsid w:val="213056EF"/>
    <w:rsid w:val="21B367A4"/>
    <w:rsid w:val="24E011DB"/>
    <w:rsid w:val="27673E35"/>
    <w:rsid w:val="27742C64"/>
    <w:rsid w:val="28BA1D43"/>
    <w:rsid w:val="29DB296D"/>
    <w:rsid w:val="2B6A3EF4"/>
    <w:rsid w:val="2C063C1D"/>
    <w:rsid w:val="2FBB6ACC"/>
    <w:rsid w:val="300C557A"/>
    <w:rsid w:val="30C85944"/>
    <w:rsid w:val="30E12562"/>
    <w:rsid w:val="31A31F0E"/>
    <w:rsid w:val="35510ED9"/>
    <w:rsid w:val="384635F3"/>
    <w:rsid w:val="396B3311"/>
    <w:rsid w:val="3A614714"/>
    <w:rsid w:val="3B2F79DE"/>
    <w:rsid w:val="3C6504EB"/>
    <w:rsid w:val="3D7D7AB7"/>
    <w:rsid w:val="3E151A9D"/>
    <w:rsid w:val="3F5E7474"/>
    <w:rsid w:val="40EA7211"/>
    <w:rsid w:val="41A03D74"/>
    <w:rsid w:val="43160791"/>
    <w:rsid w:val="44CC00DC"/>
    <w:rsid w:val="481B4154"/>
    <w:rsid w:val="4BDF193C"/>
    <w:rsid w:val="4DDE4693"/>
    <w:rsid w:val="526130AB"/>
    <w:rsid w:val="52707792"/>
    <w:rsid w:val="52B23907"/>
    <w:rsid w:val="55F935FB"/>
    <w:rsid w:val="5E8E347A"/>
    <w:rsid w:val="5ED74E21"/>
    <w:rsid w:val="618C58C6"/>
    <w:rsid w:val="65CE0600"/>
    <w:rsid w:val="6A4470E3"/>
    <w:rsid w:val="6BBF1117"/>
    <w:rsid w:val="6C593EE3"/>
    <w:rsid w:val="6E1312A6"/>
    <w:rsid w:val="6F094457"/>
    <w:rsid w:val="6FB40867"/>
    <w:rsid w:val="7177454F"/>
    <w:rsid w:val="71777D9E"/>
    <w:rsid w:val="74687E72"/>
    <w:rsid w:val="751B4EE4"/>
    <w:rsid w:val="758D4034"/>
    <w:rsid w:val="77876861"/>
    <w:rsid w:val="78762B5D"/>
    <w:rsid w:val="79B871A5"/>
    <w:rsid w:val="7A796935"/>
    <w:rsid w:val="7B705F89"/>
    <w:rsid w:val="7C030BAC"/>
    <w:rsid w:val="7FE24F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9"/>
      <w:szCs w:val="29"/>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15"/>
      <w:szCs w:val="1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4350</Words>
  <Characters>4991</Characters>
  <TotalTime>1</TotalTime>
  <ScaleCrop>false</ScaleCrop>
  <LinksUpToDate>false</LinksUpToDate>
  <CharactersWithSpaces>5023</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2024-05-27T11:45:00Z</dcterms:created>
  <dc:creator>Administrator</dc:creator>
  <cp:lastModifiedBy>Yilly</cp:lastModifiedBy>
  <dcterms:modified xsi:type="dcterms:W3CDTF">2024-06-13T08:51:44Z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2024-05-27T11:45:31Z</vt:filetime>
  </property>
  <property fmtid="{D5CDD505-2E9C-101B-9397-08002B2CF9AE}" pid="4" name="UsrData">
    <vt:lpwstr>665401d53c20970020784f42wl</vt:lpwstr>
  </property>
  <property fmtid="{D5CDD505-2E9C-101B-9397-08002B2CF9AE}" pid="5" name="KSOProductBuildVer">
    <vt:lpwstr>2052-12.1.0.16929</vt:lpwstr>
  </property>
  <property fmtid="{D5CDD505-2E9C-101B-9397-08002B2CF9AE}" pid="6" name="ICV">
    <vt:lpwstr>1AED83DA1950441CAA5A95B21EC29385_12</vt:lpwstr>
  </property>
</Properties>
</file>