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2023年城镇保障性安居工程（城镇老旧小区改造）项目转移支付2023年度绩效自评报告</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内蒙古自治区《关于全面实施预算绩效管理的实施意见》（内财监〔2019〕1343号）精神，完善项目预算管理，强化预算支出责任，提高财政资金使用效益，根据《内蒙古自治区项目支出绩效评价管理办法》的通知（内政办法〔2021〕5号）文件规定，对2023年城镇保障性安居工程（城镇老旧小区改造）项目开展绩效评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黑体" w:hAnsi="黑体" w:eastAsia="黑体" w:cs="黑体"/>
          <w:b/>
          <w:bCs/>
          <w:sz w:val="32"/>
          <w:szCs w:val="32"/>
        </w:rPr>
      </w:pPr>
      <w:r>
        <w:rPr>
          <w:rFonts w:hint="eastAsia" w:ascii="黑体" w:hAnsi="黑体" w:eastAsia="黑体" w:cs="黑体"/>
          <w:b/>
          <w:bCs/>
          <w:sz w:val="32"/>
          <w:szCs w:val="32"/>
        </w:rPr>
        <w:t>一、基本情况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_GB2312" w:hAnsi="楷体_GB2312" w:eastAsia="楷体_GB2312" w:cs="楷体_GB2312"/>
          <w:b/>
          <w:bCs/>
          <w:sz w:val="32"/>
          <w:szCs w:val="32"/>
          <w:lang w:val="en-US" w:eastAsia="en-US"/>
        </w:rPr>
      </w:pPr>
      <w:r>
        <w:rPr>
          <w:rFonts w:hint="eastAsia" w:ascii="楷体_GB2312" w:hAnsi="楷体_GB2312" w:eastAsia="楷体_GB2312" w:cs="楷体_GB2312"/>
          <w:b/>
          <w:bCs/>
          <w:sz w:val="32"/>
          <w:szCs w:val="32"/>
          <w:lang w:val="en-US" w:eastAsia="en-US"/>
        </w:rPr>
        <w:t>(一)转移支付概况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en-US"/>
        </w:rPr>
        <w:t>2023年城镇保障性安居工程（城镇老旧小区改造）项目</w:t>
      </w:r>
      <w:r>
        <w:rPr>
          <w:rFonts w:hint="eastAsia" w:ascii="仿宋_GB2312" w:hAnsi="仿宋_GB2312" w:eastAsia="仿宋_GB2312" w:cs="仿宋_GB2312"/>
          <w:sz w:val="32"/>
          <w:szCs w:val="32"/>
          <w:lang w:val="en-US" w:eastAsia="zh-CN"/>
        </w:rPr>
        <w:t>涉及项目</w:t>
      </w:r>
      <w:r>
        <w:rPr>
          <w:rFonts w:hint="eastAsia" w:ascii="仿宋_GB2312" w:hAnsi="仿宋_GB2312" w:eastAsia="仿宋_GB2312" w:cs="仿宋_GB2312"/>
          <w:sz w:val="32"/>
          <w:szCs w:val="32"/>
          <w:lang w:val="en-US" w:eastAsia="en-US"/>
        </w:rPr>
        <w:t>临河区2023年老旧小区改造配套基础设施建设项目</w:t>
      </w:r>
      <w:r>
        <w:rPr>
          <w:rFonts w:hint="eastAsia" w:ascii="仿宋_GB2312" w:hAnsi="仿宋_GB2312" w:eastAsia="仿宋_GB2312" w:cs="仿宋_GB2312"/>
          <w:sz w:val="32"/>
          <w:szCs w:val="32"/>
          <w:lang w:val="en-US" w:eastAsia="zh-CN"/>
        </w:rPr>
        <w:t>，改造涉及户数6617人，</w:t>
      </w:r>
      <w:r>
        <w:rPr>
          <w:rFonts w:hint="eastAsia" w:ascii="仿宋" w:hAnsi="仿宋" w:eastAsia="仿宋"/>
          <w:bCs/>
          <w:sz w:val="32"/>
          <w:szCs w:val="32"/>
          <w:lang w:eastAsia="zh-CN"/>
        </w:rPr>
        <w:t>项目涉及</w:t>
      </w:r>
      <w:r>
        <w:rPr>
          <w:rFonts w:hint="eastAsia" w:ascii="仿宋" w:hAnsi="仿宋" w:eastAsia="仿宋"/>
          <w:bCs/>
          <w:sz w:val="32"/>
          <w:szCs w:val="32"/>
          <w:lang w:val="en-US" w:eastAsia="zh-CN"/>
        </w:rPr>
        <w:t>55小区，183栋楼，6617户居民，建筑面积55.34万平方米，投资约10626万元。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(二)整体绩效目标情况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2023年城镇保障性安居工程（城镇老旧小区改造）项目</w:t>
      </w:r>
      <w:r>
        <w:rPr>
          <w:rFonts w:hint="eastAsia" w:ascii="仿宋_GB2312" w:hAnsi="仿宋_GB2312" w:eastAsia="仿宋_GB2312" w:cs="仿宋_GB2312"/>
          <w:sz w:val="32"/>
          <w:szCs w:val="32"/>
          <w:lang w:val="en-US" w:eastAsia="zh-CN"/>
        </w:rPr>
        <w:t>涉及项目</w:t>
      </w:r>
      <w:r>
        <w:rPr>
          <w:rFonts w:hint="eastAsia" w:ascii="仿宋_GB2312" w:hAnsi="仿宋_GB2312" w:eastAsia="仿宋_GB2312" w:cs="仿宋_GB2312"/>
          <w:sz w:val="32"/>
          <w:szCs w:val="32"/>
          <w:lang w:val="en-US" w:eastAsia="en-US"/>
        </w:rPr>
        <w:t>为临河区2023年老旧小区改造配套基础设施建设项目，该项目的实施提高周边居民出行方便及生活环境，居民对此满意度增加，同时居民的幸福指数也提高，提高城市基础设施建设能力。</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(三)区域绩效目标情况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通过财政支出结果的评价，为政府和社会公众提供财政支出绩效信息，增强预算单位财政支出绩效管理理念，促进财政资金分配和使用更加科学有序，提高财政资金使用效益和效率。通过绩效自评过程反映项目年初制定的目标、计划、预算、定额等完成情况，并以此作为评价标准衡量财政支出绩效目标完成程度的标尺，对项目设定的绩效目标的实现程度进行审核，查找目前工作存在的问题及原因，并及时提出下一步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二、综合评价结论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总体上看，该项目计划科学、决议依据充足、项目管理规范，本项目绩效评价得分为93.24分，具体情况如下表所示：</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项目整体绩效分值</w:t>
      </w:r>
    </w:p>
    <w:tbl>
      <w:tblPr>
        <w:tblStyle w:val="7"/>
        <w:tblpPr w:leftFromText="180" w:rightFromText="180" w:vertAnchor="text" w:horzAnchor="page" w:tblpX="1897" w:tblpY="56"/>
        <w:tblOverlap w:val="never"/>
        <w:tblW w:w="87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140"/>
        <w:gridCol w:w="1260"/>
        <w:gridCol w:w="1260"/>
        <w:gridCol w:w="1245"/>
        <w:gridCol w:w="1034"/>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1606"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指标类别</w:t>
            </w:r>
          </w:p>
        </w:tc>
        <w:tc>
          <w:tcPr>
            <w:tcW w:w="114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资金投入</w:t>
            </w:r>
          </w:p>
        </w:tc>
        <w:tc>
          <w:tcPr>
            <w:tcW w:w="126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资金管理</w:t>
            </w:r>
          </w:p>
        </w:tc>
        <w:tc>
          <w:tcPr>
            <w:tcW w:w="126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产出</w:t>
            </w:r>
          </w:p>
        </w:tc>
        <w:tc>
          <w:tcPr>
            <w:tcW w:w="124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en-US"/>
              </w:rPr>
            </w:pPr>
            <w:r>
              <w:rPr>
                <w:rFonts w:hint="eastAsia" w:ascii="仿宋_GB2312" w:hAnsi="仿宋_GB2312" w:eastAsia="仿宋_GB2312" w:cs="仿宋_GB2312"/>
                <w:sz w:val="22"/>
                <w:szCs w:val="22"/>
              </w:rPr>
              <w:t>效益</w:t>
            </w:r>
          </w:p>
        </w:tc>
        <w:tc>
          <w:tcPr>
            <w:tcW w:w="1034"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满意度</w:t>
            </w:r>
          </w:p>
        </w:tc>
        <w:tc>
          <w:tcPr>
            <w:tcW w:w="120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权重分</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40</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rPr>
              <w:t>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100分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得分分值</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3.24</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40</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rPr>
              <w:t>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93.24</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"#.00分"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得分率</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=B3/B2*100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30.24</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=E3/E2*100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=F3/F2*100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93.24</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b/>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三、绩效情况分析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(一)资金情况分析</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本年度资金年初预算数2961</w:t>
      </w:r>
      <w:r>
        <w:rPr>
          <w:rFonts w:hint="eastAsia" w:ascii="仿宋_GB2312" w:hAnsi="仿宋_GB2312" w:eastAsia="仿宋_GB2312" w:cs="仿宋_GB2312"/>
          <w:color w:val="auto"/>
          <w:spacing w:val="4"/>
          <w:sz w:val="32"/>
          <w:szCs w:val="32"/>
        </w:rPr>
        <w:t>万元，其中：财政拨款</w:t>
      </w:r>
      <w:r>
        <w:rPr>
          <w:rFonts w:hint="eastAsia" w:ascii="仿宋_GB2312" w:hAnsi="仿宋_GB2312" w:eastAsia="仿宋_GB2312" w:cs="仿宋_GB2312"/>
          <w:color w:val="auto"/>
          <w:spacing w:val="4"/>
          <w:sz w:val="32"/>
          <w:szCs w:val="32"/>
          <w:lang w:val="en-US" w:eastAsia="zh-CN"/>
        </w:rPr>
        <w:t>2961</w:t>
      </w:r>
      <w:r>
        <w:rPr>
          <w:rFonts w:hint="eastAsia" w:ascii="仿宋_GB2312" w:hAnsi="仿宋_GB2312" w:eastAsia="仿宋_GB2312" w:cs="仿宋_GB2312"/>
          <w:color w:val="auto"/>
          <w:spacing w:val="4"/>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rPr>
      </w:pPr>
      <w:r>
        <w:rPr>
          <w:rFonts w:hint="eastAsia" w:ascii="仿宋_GB2312" w:hAnsi="仿宋_GB2312" w:eastAsia="仿宋_GB2312" w:cs="仿宋_GB2312"/>
          <w:color w:val="auto"/>
          <w:spacing w:val="4"/>
          <w:sz w:val="32"/>
          <w:szCs w:val="32"/>
          <w:lang w:val="en-US" w:eastAsia="zh-CN"/>
        </w:rPr>
        <w:t>本年度资金全年执行数959.26</w:t>
      </w:r>
      <w:r>
        <w:rPr>
          <w:rFonts w:hint="eastAsia" w:ascii="仿宋_GB2312" w:hAnsi="仿宋_GB2312" w:eastAsia="仿宋_GB2312" w:cs="仿宋_GB2312"/>
          <w:color w:val="auto"/>
          <w:spacing w:val="4"/>
          <w:sz w:val="32"/>
          <w:szCs w:val="32"/>
        </w:rPr>
        <w:t>万元，其中：财政拨款</w:t>
      </w:r>
      <w:r>
        <w:rPr>
          <w:rFonts w:hint="eastAsia" w:ascii="仿宋_GB2312" w:hAnsi="仿宋_GB2312" w:eastAsia="仿宋_GB2312" w:cs="仿宋_GB2312"/>
          <w:color w:val="auto"/>
          <w:spacing w:val="4"/>
          <w:sz w:val="32"/>
          <w:szCs w:val="32"/>
          <w:lang w:val="en-US" w:eastAsia="zh-CN"/>
        </w:rPr>
        <w:t>959.26</w:t>
      </w:r>
      <w:r>
        <w:rPr>
          <w:rFonts w:hint="eastAsia" w:ascii="仿宋_GB2312" w:hAnsi="仿宋_GB2312" w:eastAsia="仿宋_GB2312" w:cs="仿宋_GB2312"/>
          <w:color w:val="auto"/>
          <w:spacing w:val="4"/>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val="en-US" w:eastAsia="en-US"/>
        </w:rPr>
        <w:t>资金管理情况分析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管理指标主要从分配科学性、下达及时性、拨付合规性、使用规范性、执行准确性、预算绩效管理情况、支出责任履行情况和政策目标实现情况等八个方面对资金管理进行评价，该指标权重为40分，评价得分40分，得分率为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1、分配科学性：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根据分配目标，制定相应的分配标准，使分配更加科学和公正，在分配过程中，保持透明和公开，确保分配的科学性和有效性 。该项指标权重分为5分，根据评分标准得5分。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2、下达及时性：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根据资金管理相关要求，制定合理的预算计划，及时更新以确保资金有效利用。该项指标权重分为5分，根据评分标准得5分。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3、拨付合规性：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该项目资金使用符合国家财经法规和财务管理制度的有关规定，有完整的审批程序和手续，不存在截留、挤占、挪用、虚列支出等情况,因此该项指标权重分为5分，根据评分标准得5分。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4、使用规范性：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该项目资金使用符合项目预算批复或合同规定的用途，因此该项指标权重分为5分，根据评分标准得5分。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5、执行准确性：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该项目的财务及资金支出能够严格按照国家、自治区的相关管理制度执行，制度执行有效，因此该项指标权重分为5分，根据评分标准5分。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6、预算绩效管理情况：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积极推进预算绩效管理工作，加强预算绩效管理流程，扩大管理范围，加强评价结果运用，提高财政资源配置效率和使用效益，同时注重绩效管理的公开透明，接受社会监督。</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7、支出责任履行情况：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根据预算和审批程序，支出责任已得到有效履行。该项指标权重分为5分，根据评分标准得5分。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8、政策目标实现情况：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项目实施过程中，加强与相关机构的沟通协调，积极指导享受相关政策，加速政策的落地。该项指标权重分为5分，根据评分标准得5分。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default" w:ascii="仿宋_GB2312" w:hAnsi="仿宋_GB2312" w:eastAsia="仿宋_GB2312" w:cs="仿宋_GB2312"/>
          <w:color w:val="auto"/>
          <w:spacing w:val="4"/>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)总体目标完成情况分析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en-US"/>
        </w:rPr>
        <w:t>2023年城镇保障性安居工程（城镇老旧小区改造）项目</w:t>
      </w:r>
      <w:r>
        <w:rPr>
          <w:rFonts w:hint="eastAsia" w:ascii="仿宋_GB2312" w:hAnsi="仿宋_GB2312" w:eastAsia="仿宋_GB2312" w:cs="仿宋_GB2312"/>
          <w:sz w:val="32"/>
          <w:szCs w:val="32"/>
          <w:lang w:val="en-US" w:eastAsia="zh-CN"/>
        </w:rPr>
        <w:t>涉及项目</w:t>
      </w:r>
      <w:r>
        <w:rPr>
          <w:rFonts w:hint="eastAsia" w:ascii="仿宋_GB2312" w:hAnsi="仿宋_GB2312" w:eastAsia="仿宋_GB2312" w:cs="仿宋_GB2312"/>
          <w:sz w:val="32"/>
          <w:szCs w:val="32"/>
          <w:lang w:val="en-US" w:eastAsia="en-US"/>
        </w:rPr>
        <w:t>为临河区2023年老旧小区改造配套基础设施建设项目，</w:t>
      </w:r>
      <w:r>
        <w:rPr>
          <w:rFonts w:hint="eastAsia" w:ascii="仿宋_GB2312" w:hAnsi="仿宋_GB2312" w:eastAsia="仿宋_GB2312" w:cs="仿宋_GB2312"/>
          <w:sz w:val="32"/>
          <w:szCs w:val="32"/>
          <w:lang w:val="en-US" w:eastAsia="zh-CN"/>
        </w:rPr>
        <w:t>改造涉及6617户，</w:t>
      </w:r>
      <w:r>
        <w:rPr>
          <w:rFonts w:hint="eastAsia" w:ascii="仿宋_GB2312" w:hAnsi="仿宋_GB2312" w:eastAsia="仿宋_GB2312" w:cs="仿宋_GB2312"/>
          <w:sz w:val="32"/>
          <w:szCs w:val="32"/>
          <w:lang w:val="en-US" w:eastAsia="en-US"/>
        </w:rPr>
        <w:t>该项目的实施提高周边居民出行方便及生活环境，居民对此满意度增加，同时居民的幸福指数也提高，提高城市基础设施建设能力。</w:t>
      </w:r>
      <w:r>
        <w:rPr>
          <w:rFonts w:hint="eastAsia" w:ascii="仿宋_GB2312" w:hAnsi="仿宋_GB2312" w:eastAsia="仿宋_GB2312" w:cs="仿宋_GB2312"/>
          <w:sz w:val="32"/>
          <w:szCs w:val="32"/>
          <w:lang w:val="en-US" w:eastAsia="zh-CN"/>
        </w:rPr>
        <w:t>目前已完成。</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绩效指标完成情况分析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 产出指标完成情况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04" w:firstLineChars="200"/>
        <w:textAlignment w:val="baseline"/>
        <w:rPr>
          <w:rFonts w:hint="eastAsia" w:ascii="仿宋_GB2312" w:hAnsi="仿宋_GB2312" w:eastAsia="仿宋_GB2312" w:cs="仿宋_GB2312"/>
          <w:b/>
          <w:bCs/>
          <w:sz w:val="32"/>
          <w:szCs w:val="32"/>
        </w:rPr>
      </w:pPr>
      <w:r>
        <w:rPr>
          <w:rFonts w:hint="default" w:ascii="仿宋" w:hAnsi="仿宋" w:eastAsia="仿宋" w:cs="仿宋"/>
          <w:spacing w:val="1"/>
          <w:sz w:val="30"/>
          <w:szCs w:val="30"/>
        </w:rPr>
        <w:t>1、数量指标</w:t>
      </w:r>
      <w:r>
        <w:rPr>
          <w:rFonts w:hint="default" w:ascii="仿宋" w:hAnsi="仿宋" w:eastAsia="仿宋" w:cs="仿宋"/>
          <w:spacing w:val="1"/>
          <w:sz w:val="30"/>
          <w:szCs w:val="30"/>
        </w:rPr>
        <w:cr/>
      </w:r>
      <w:r>
        <w:rPr>
          <w:rFonts w:hint="default" w:ascii="仿宋" w:hAnsi="仿宋" w:eastAsia="仿宋" w:cs="仿宋"/>
          <w:spacing w:val="1"/>
          <w:sz w:val="30"/>
          <w:szCs w:val="30"/>
        </w:rPr>
        <w:t>1)涉及小区个数，目标值大于等于55个，实际完成</w:t>
      </w:r>
      <w:r>
        <w:rPr>
          <w:rFonts w:hint="eastAsia" w:ascii="仿宋" w:hAnsi="仿宋" w:eastAsia="仿宋" w:cs="仿宋"/>
          <w:spacing w:val="1"/>
          <w:sz w:val="30"/>
          <w:szCs w:val="30"/>
          <w:lang w:val="en-US" w:eastAsia="zh-CN"/>
        </w:rPr>
        <w:t>55</w:t>
      </w:r>
      <w:r>
        <w:rPr>
          <w:rFonts w:hint="default" w:ascii="仿宋" w:hAnsi="仿宋" w:eastAsia="仿宋" w:cs="仿宋"/>
          <w:spacing w:val="1"/>
          <w:sz w:val="30"/>
          <w:szCs w:val="30"/>
        </w:rPr>
        <w:t>个，分值</w:t>
      </w:r>
      <w:r>
        <w:rPr>
          <w:rFonts w:hint="eastAsia" w:ascii="仿宋" w:hAnsi="仿宋" w:eastAsia="仿宋" w:cs="仿宋"/>
          <w:spacing w:val="1"/>
          <w:sz w:val="30"/>
          <w:szCs w:val="30"/>
          <w:lang w:val="en-US" w:eastAsia="zh-CN"/>
        </w:rPr>
        <w:t>3</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3</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2)涉及楼栋数，目标值大于等于</w:t>
      </w:r>
      <w:r>
        <w:rPr>
          <w:rFonts w:hint="eastAsia" w:ascii="仿宋" w:hAnsi="仿宋" w:eastAsia="仿宋" w:cs="仿宋"/>
          <w:spacing w:val="1"/>
          <w:sz w:val="30"/>
          <w:szCs w:val="30"/>
          <w:lang w:val="en-US" w:eastAsia="zh-CN"/>
        </w:rPr>
        <w:t>183</w:t>
      </w:r>
      <w:r>
        <w:rPr>
          <w:rFonts w:hint="default" w:ascii="仿宋" w:hAnsi="仿宋" w:eastAsia="仿宋" w:cs="仿宋"/>
          <w:spacing w:val="1"/>
          <w:sz w:val="30"/>
          <w:szCs w:val="30"/>
        </w:rPr>
        <w:t>个，实际完成</w:t>
      </w:r>
      <w:r>
        <w:rPr>
          <w:rFonts w:hint="eastAsia" w:ascii="仿宋" w:hAnsi="仿宋" w:eastAsia="仿宋" w:cs="仿宋"/>
          <w:spacing w:val="1"/>
          <w:sz w:val="30"/>
          <w:szCs w:val="30"/>
          <w:lang w:val="en-US" w:eastAsia="zh-CN"/>
        </w:rPr>
        <w:t>183</w:t>
      </w:r>
      <w:r>
        <w:rPr>
          <w:rFonts w:hint="default" w:ascii="仿宋" w:hAnsi="仿宋" w:eastAsia="仿宋" w:cs="仿宋"/>
          <w:spacing w:val="1"/>
          <w:sz w:val="30"/>
          <w:szCs w:val="30"/>
        </w:rPr>
        <w:t>个，分值</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2、质量指标</w:t>
      </w:r>
      <w:r>
        <w:rPr>
          <w:rFonts w:hint="default" w:ascii="仿宋" w:hAnsi="仿宋" w:eastAsia="仿宋" w:cs="仿宋"/>
          <w:spacing w:val="1"/>
          <w:sz w:val="30"/>
          <w:szCs w:val="30"/>
        </w:rPr>
        <w:cr/>
      </w:r>
      <w:r>
        <w:rPr>
          <w:rFonts w:hint="default" w:ascii="仿宋" w:hAnsi="仿宋" w:eastAsia="仿宋" w:cs="仿宋"/>
          <w:spacing w:val="1"/>
          <w:sz w:val="30"/>
          <w:szCs w:val="30"/>
        </w:rPr>
        <w:t>3)验收合格率，目标值大于等于98%，实际完成98%，分值</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4)经费支出合规率，目标值大于等于98%，实际完成98%，分值</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3、时效指标</w:t>
      </w:r>
      <w:r>
        <w:rPr>
          <w:rFonts w:hint="default" w:ascii="仿宋" w:hAnsi="仿宋" w:eastAsia="仿宋" w:cs="仿宋"/>
          <w:spacing w:val="1"/>
          <w:sz w:val="30"/>
          <w:szCs w:val="30"/>
        </w:rPr>
        <w:cr/>
      </w:r>
      <w:r>
        <w:rPr>
          <w:rFonts w:hint="default" w:ascii="仿宋" w:hAnsi="仿宋" w:eastAsia="仿宋" w:cs="仿宋"/>
          <w:spacing w:val="1"/>
          <w:sz w:val="30"/>
          <w:szCs w:val="30"/>
        </w:rPr>
        <w:t>5)开工及时率，目标值大于等于95%，实际完成95%，分值</w:t>
      </w:r>
      <w:r>
        <w:rPr>
          <w:rFonts w:hint="eastAsia" w:ascii="仿宋" w:hAnsi="仿宋" w:eastAsia="仿宋" w:cs="仿宋"/>
          <w:spacing w:val="1"/>
          <w:sz w:val="30"/>
          <w:szCs w:val="30"/>
          <w:lang w:val="en-US" w:eastAsia="zh-CN"/>
        </w:rPr>
        <w:t>3</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3</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6)完工及时率，目标值大于等于95%，实际完成95%，分值</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4、成本指标</w:t>
      </w:r>
      <w:r>
        <w:rPr>
          <w:rFonts w:hint="default" w:ascii="仿宋" w:hAnsi="仿宋" w:eastAsia="仿宋" w:cs="仿宋"/>
          <w:spacing w:val="1"/>
          <w:sz w:val="30"/>
          <w:szCs w:val="30"/>
        </w:rPr>
        <w:cr/>
      </w:r>
      <w:r>
        <w:rPr>
          <w:rFonts w:hint="default" w:ascii="仿宋" w:hAnsi="仿宋" w:eastAsia="仿宋" w:cs="仿宋"/>
          <w:spacing w:val="1"/>
          <w:sz w:val="30"/>
          <w:szCs w:val="30"/>
        </w:rPr>
        <w:t>7)成本节约率，目标值大于等于98%，实际完成98%，分值5，得分5。</w:t>
      </w:r>
      <w:r>
        <w:rPr>
          <w:rFonts w:hint="default" w:ascii="仿宋" w:hAnsi="仿宋" w:eastAsia="仿宋" w:cs="仿宋"/>
          <w:spacing w:val="1"/>
          <w:sz w:val="30"/>
          <w:szCs w:val="30"/>
        </w:rPr>
        <w:cr/>
      </w:r>
      <w:r>
        <w:rPr>
          <w:rFonts w:hint="default" w:ascii="仿宋" w:hAnsi="仿宋" w:eastAsia="仿宋" w:cs="仿宋"/>
          <w:spacing w:val="1"/>
          <w:sz w:val="30"/>
          <w:szCs w:val="30"/>
        </w:rPr>
        <w:t>8)成本控制率，目标值大于等于98%，实际完成98%，分值5，得分5。</w:t>
      </w:r>
      <w:r>
        <w:rPr>
          <w:rFonts w:hint="default" w:ascii="仿宋" w:hAnsi="仿宋" w:eastAsia="仿宋" w:cs="仿宋"/>
          <w:spacing w:val="1"/>
          <w:sz w:val="30"/>
          <w:szCs w:val="30"/>
        </w:rPr>
        <w:cr/>
      </w:r>
      <w:r>
        <w:rPr>
          <w:rFonts w:hint="eastAsia" w:ascii="仿宋_GB2312" w:hAnsi="仿宋_GB2312" w:eastAsia="仿宋_GB2312" w:cs="仿宋_GB2312"/>
          <w:b/>
          <w:bCs/>
          <w:sz w:val="32"/>
          <w:szCs w:val="32"/>
        </w:rPr>
        <w:t>(二) 效益指标完成情况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5、经济效益</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该项目无经济效益。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6、社会效益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9)项目建设有效改善居民环境，目标值有效改善，</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完成改善，分值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7、生态效益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10)建筑垃圾清运处理，目标值及时清运，</w:t>
      </w:r>
      <w:r>
        <w:rPr>
          <w:rFonts w:hint="eastAsia" w:ascii="仿宋_GB2312" w:hAnsi="仿宋_GB2312" w:eastAsia="仿宋_GB2312" w:cs="仿宋_GB2312"/>
          <w:sz w:val="32"/>
          <w:szCs w:val="32"/>
          <w:lang w:val="en-US" w:eastAsia="zh-CN"/>
        </w:rPr>
        <w:t>实际及时清运</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8、可持续影响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11)配套设施，目标值设施完善，</w:t>
      </w:r>
      <w:r>
        <w:rPr>
          <w:rFonts w:hint="eastAsia" w:ascii="仿宋_GB2312" w:hAnsi="仿宋_GB2312" w:eastAsia="仿宋_GB2312" w:cs="仿宋_GB2312"/>
          <w:sz w:val="32"/>
          <w:szCs w:val="32"/>
          <w:lang w:val="en-US" w:eastAsia="zh-CN"/>
        </w:rPr>
        <w:t>实际逐步完善</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 满意度指标完成情况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9、服务对象满意度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12)受益对象满意度，目标值满意，</w:t>
      </w:r>
      <w:r>
        <w:rPr>
          <w:rFonts w:hint="eastAsia" w:ascii="仿宋_GB2312" w:hAnsi="仿宋_GB2312" w:eastAsia="仿宋_GB2312" w:cs="仿宋_GB2312"/>
          <w:sz w:val="32"/>
          <w:szCs w:val="32"/>
          <w:lang w:val="en-US" w:eastAsia="zh-CN"/>
        </w:rPr>
        <w:t>实际满意</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四、发现的主要问题和改进措施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1、项目立项、实施全部通过平台交易，暂无问题。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2、加大项目实施进度，严格按照国家标准执行，杜绝豆腐渣工程，操作透明化，</w:t>
      </w:r>
      <w:r>
        <w:rPr>
          <w:rFonts w:hint="eastAsia" w:ascii="仿宋_GB2312" w:hAnsi="仿宋_GB2312" w:eastAsia="仿宋_GB2312" w:cs="仿宋_GB2312"/>
          <w:sz w:val="32"/>
          <w:szCs w:val="32"/>
        </w:rPr>
        <w:t>项目资金</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合理安排和有效利用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确保不超支。</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 、绩效自评结果拟应用和公开情况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首先，进一步加强预算绩效管理水平，客观、独立、中肯的进行绩效自评，形成以证据和结果为导向的自评报告，根据政务公开条例的有关规定，按照依法公开、主动公开和依法申请公开的操作流程，公开绩效目标、绩效指标和绩效自评报告，自觉接受社会各方面的监督。</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其次，做实“绩效自评”。形成“以证据或结果为导向的绩效评价体系”，真实反映项目自评得分，真正实现“预算”“绩效”深度融合，提升政府公信力，降低行政运行成本，注重经济效益、社会效益、生态效益、可持续发展能力和收益对象满意度，促进项目产出效果的最大化。</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最后，针对本项目实施情况，继续完善代建资金发放新举措、新方法，更高效率的支付项目资金。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六、绩效自评工作开展情况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本项目资金管理严格按照有关制度执行，未发现侵占、截留、挤占、挪用资金的</w:t>
      </w:r>
      <w:bookmarkStart w:id="0" w:name="_GoBack"/>
      <w:bookmarkEnd w:id="0"/>
      <w:r>
        <w:rPr>
          <w:rFonts w:hint="eastAsia" w:ascii="仿宋_GB2312" w:hAnsi="仿宋_GB2312" w:eastAsia="仿宋_GB2312" w:cs="仿宋_GB2312"/>
          <w:sz w:val="32"/>
          <w:szCs w:val="32"/>
        </w:rPr>
        <w:t>现象，加强对项目实施过程的监督，确保做到每一个环节都有监督、有检查、有记录，取得了良好的效益。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项目单位提供了项目涉及的大部分基础工作材料和专项资金财务核算资料，并对其真实性、合法性、完整性负责。绩效评价的可靠性基于上述资料真实性、完整性。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八、附件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转移支付整体绩效自评表</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sectPr>
          <w:footerReference r:id="rId5" w:type="default"/>
          <w:pgSz w:w="11900" w:h="16840"/>
          <w:pgMar w:top="2098" w:right="1474" w:bottom="1417" w:left="1587" w:header="0" w:footer="1206" w:gutter="0"/>
          <w:pgNumType w:fmt="decimal"/>
          <w:cols w:space="720" w:num="1"/>
        </w:sectPr>
      </w:pPr>
    </w:p>
    <w:p>
      <w:pPr>
        <w:rPr>
          <w:rFonts w:hint="eastAsia" w:ascii="仿宋_GB2312" w:hAnsi="仿宋_GB2312" w:eastAsia="仿宋_GB2312" w:cs="仿宋_GB2312"/>
        </w:rPr>
      </w:pPr>
      <w:r>
        <w:rPr>
          <w:rFonts w:hint="eastAsia" w:ascii="仿宋_GB2312" w:hAnsi="仿宋_GB2312" w:eastAsia="仿宋_GB2312" w:cs="仿宋_GB2312"/>
        </w:rPr>
        <w:t>附件4</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2023年中央财政城镇保障性安居工程转移支付整体绩效自评表</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(2023年度)</w:t>
      </w:r>
    </w:p>
    <w:p>
      <w:pPr>
        <w:rPr>
          <w:rFonts w:hint="eastAsia" w:ascii="仿宋_GB2312" w:hAnsi="仿宋_GB2312" w:eastAsia="仿宋_GB2312" w:cs="仿宋_GB2312"/>
        </w:rPr>
      </w:pPr>
    </w:p>
    <w:tbl>
      <w:tblPr>
        <w:tblStyle w:val="9"/>
        <w:tblW w:w="9209"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
        <w:gridCol w:w="370"/>
        <w:gridCol w:w="799"/>
        <w:gridCol w:w="1738"/>
        <w:gridCol w:w="899"/>
        <w:gridCol w:w="909"/>
        <w:gridCol w:w="895"/>
        <w:gridCol w:w="660"/>
        <w:gridCol w:w="539"/>
        <w:gridCol w:w="493"/>
        <w:gridCol w:w="15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转移支付名称</w:t>
            </w:r>
          </w:p>
        </w:tc>
        <w:tc>
          <w:tcPr>
            <w:tcW w:w="7656" w:type="dxa"/>
            <w:gridSpan w:val="8"/>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en-US"/>
              </w:rPr>
              <w:t>2023年城镇保障性安居工程（城镇老旧小区改造）项目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中央主管部门</w:t>
            </w:r>
          </w:p>
        </w:tc>
        <w:tc>
          <w:tcPr>
            <w:tcW w:w="7656" w:type="dxa"/>
            <w:gridSpan w:val="8"/>
            <w:vAlign w:val="top"/>
          </w:tcPr>
          <w:p>
            <w:pPr>
              <w:rPr>
                <w:rFonts w:hint="eastAsia" w:asciiTheme="minorEastAsia" w:hAnsiTheme="minorEastAsia" w:eastAsiaTheme="minorEastAsia" w:cstheme="minorEastAsia"/>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53" w:type="dxa"/>
            <w:gridSpan w:val="3"/>
            <w:vMerge w:val="restart"/>
            <w:tcBorders>
              <w:bottom w:val="nil"/>
            </w:tcBorders>
            <w:vAlign w:val="top"/>
          </w:tcPr>
          <w:p>
            <w:pPr>
              <w:rPr>
                <w:rFonts w:hint="eastAsia" w:ascii="宋体" w:hAnsi="宋体" w:eastAsia="宋体" w:cs="宋体"/>
                <w:sz w:val="15"/>
                <w:szCs w:val="15"/>
              </w:rPr>
            </w:pPr>
          </w:p>
          <w:p>
            <w:pPr>
              <w:rPr>
                <w:rFonts w:hint="eastAsia" w:ascii="宋体" w:hAnsi="宋体" w:eastAsia="宋体" w:cs="宋体"/>
                <w:sz w:val="15"/>
                <w:szCs w:val="15"/>
              </w:rPr>
            </w:pPr>
            <w:r>
              <w:rPr>
                <w:rFonts w:hint="eastAsia" w:ascii="宋体" w:hAnsi="宋体" w:eastAsia="宋体" w:cs="宋体"/>
                <w:sz w:val="15"/>
                <w:szCs w:val="15"/>
              </w:rPr>
              <w:t>资金投入情况</w:t>
            </w:r>
          </w:p>
          <w:p>
            <w:pPr>
              <w:rPr>
                <w:rFonts w:hint="eastAsia" w:ascii="宋体" w:hAnsi="宋体" w:eastAsia="宋体" w:cs="宋体"/>
                <w:sz w:val="15"/>
                <w:szCs w:val="15"/>
              </w:rPr>
            </w:pPr>
            <w:r>
              <w:rPr>
                <w:rFonts w:hint="eastAsia" w:ascii="宋体" w:hAnsi="宋体" w:eastAsia="宋体" w:cs="宋体"/>
                <w:sz w:val="15"/>
                <w:szCs w:val="15"/>
              </w:rPr>
              <w:t>(万元)</w:t>
            </w:r>
          </w:p>
        </w:tc>
        <w:tc>
          <w:tcPr>
            <w:tcW w:w="1738" w:type="dxa"/>
            <w:vAlign w:val="top"/>
          </w:tcPr>
          <w:p>
            <w:pPr>
              <w:jc w:val="center"/>
              <w:rPr>
                <w:rFonts w:hint="eastAsia" w:ascii="宋体" w:hAnsi="宋体" w:eastAsia="宋体" w:cs="宋体"/>
                <w:sz w:val="15"/>
                <w:szCs w:val="15"/>
              </w:rPr>
            </w:pPr>
          </w:p>
        </w:tc>
        <w:tc>
          <w:tcPr>
            <w:tcW w:w="89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年初预算数</w:t>
            </w:r>
          </w:p>
        </w:tc>
        <w:tc>
          <w:tcPr>
            <w:tcW w:w="90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全年预算数</w:t>
            </w:r>
          </w:p>
          <w:p>
            <w:pPr>
              <w:jc w:val="center"/>
              <w:rPr>
                <w:rFonts w:hint="eastAsia" w:ascii="宋体" w:hAnsi="宋体" w:eastAsia="宋体" w:cs="宋体"/>
                <w:sz w:val="15"/>
                <w:szCs w:val="15"/>
              </w:rPr>
            </w:pPr>
            <w:r>
              <w:rPr>
                <w:rFonts w:hint="eastAsia" w:ascii="宋体" w:hAnsi="宋体" w:eastAsia="宋体" w:cs="宋体"/>
                <w:sz w:val="15"/>
                <w:szCs w:val="15"/>
              </w:rPr>
              <w:t>(A)</w:t>
            </w:r>
          </w:p>
        </w:tc>
        <w:tc>
          <w:tcPr>
            <w:tcW w:w="895"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全年执行数</w:t>
            </w:r>
          </w:p>
          <w:p>
            <w:pPr>
              <w:jc w:val="center"/>
              <w:rPr>
                <w:rFonts w:hint="eastAsia" w:ascii="宋体" w:hAnsi="宋体" w:eastAsia="宋体" w:cs="宋体"/>
                <w:sz w:val="15"/>
                <w:szCs w:val="15"/>
              </w:rPr>
            </w:pPr>
            <w:r>
              <w:rPr>
                <w:rFonts w:hint="eastAsia" w:ascii="宋体" w:hAnsi="宋体" w:eastAsia="宋体" w:cs="宋体"/>
                <w:sz w:val="15"/>
                <w:szCs w:val="15"/>
              </w:rPr>
              <w:t>(B)</w:t>
            </w:r>
          </w:p>
        </w:tc>
        <w:tc>
          <w:tcPr>
            <w:tcW w:w="660"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分值</w:t>
            </w:r>
          </w:p>
        </w:tc>
        <w:tc>
          <w:tcPr>
            <w:tcW w:w="1032" w:type="dxa"/>
            <w:gridSpan w:val="2"/>
            <w:vAlign w:val="top"/>
          </w:tcPr>
          <w:p>
            <w:pPr>
              <w:jc w:val="center"/>
              <w:rPr>
                <w:rFonts w:hint="eastAsia" w:ascii="宋体" w:hAnsi="宋体" w:eastAsia="宋体" w:cs="宋体"/>
                <w:sz w:val="15"/>
                <w:szCs w:val="15"/>
              </w:rPr>
            </w:pPr>
            <w:r>
              <w:rPr>
                <w:rFonts w:hint="eastAsia" w:ascii="宋体" w:hAnsi="宋体" w:eastAsia="宋体" w:cs="宋体"/>
                <w:sz w:val="15"/>
                <w:szCs w:val="15"/>
              </w:rPr>
              <w:t>执行率</w:t>
            </w:r>
          </w:p>
          <w:p>
            <w:pPr>
              <w:jc w:val="center"/>
              <w:rPr>
                <w:rFonts w:hint="eastAsia" w:ascii="宋体" w:hAnsi="宋体" w:eastAsia="宋体" w:cs="宋体"/>
                <w:sz w:val="15"/>
                <w:szCs w:val="15"/>
              </w:rPr>
            </w:pPr>
            <w:r>
              <w:rPr>
                <w:rFonts w:hint="eastAsia" w:ascii="宋体" w:hAnsi="宋体" w:eastAsia="宋体" w:cs="宋体"/>
                <w:sz w:val="15"/>
                <w:szCs w:val="15"/>
              </w:rPr>
              <w:t>(B/A×100%)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年度资金总额：</w:t>
            </w:r>
          </w:p>
        </w:tc>
        <w:tc>
          <w:tcPr>
            <w:tcW w:w="89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2961</w:t>
            </w:r>
          </w:p>
        </w:tc>
        <w:tc>
          <w:tcPr>
            <w:tcW w:w="90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2961</w:t>
            </w:r>
          </w:p>
        </w:tc>
        <w:tc>
          <w:tcPr>
            <w:tcW w:w="895"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959.26</w:t>
            </w:r>
          </w:p>
        </w:tc>
        <w:tc>
          <w:tcPr>
            <w:tcW w:w="660"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3.24</w:t>
            </w:r>
          </w:p>
        </w:tc>
        <w:tc>
          <w:tcPr>
            <w:tcW w:w="1032" w:type="dxa"/>
            <w:gridSpan w:val="2"/>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30.24%</w:t>
            </w:r>
          </w:p>
        </w:tc>
        <w:tc>
          <w:tcPr>
            <w:tcW w:w="1523"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3.24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其中：中央财政资金</w:t>
            </w:r>
          </w:p>
        </w:tc>
        <w:tc>
          <w:tcPr>
            <w:tcW w:w="89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2961</w:t>
            </w:r>
          </w:p>
        </w:tc>
        <w:tc>
          <w:tcPr>
            <w:tcW w:w="90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2961</w:t>
            </w:r>
          </w:p>
        </w:tc>
        <w:tc>
          <w:tcPr>
            <w:tcW w:w="895"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959.26</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30.24%</w:t>
            </w:r>
          </w:p>
        </w:tc>
        <w:tc>
          <w:tcPr>
            <w:tcW w:w="1523" w:type="dxa"/>
            <w:vAlign w:val="top"/>
          </w:tcPr>
          <w:p>
            <w:pPr>
              <w:jc w:val="cente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地方财政资金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其他资金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 w:hRule="atLeast"/>
        </w:trPr>
        <w:tc>
          <w:tcPr>
            <w:tcW w:w="1553" w:type="dxa"/>
            <w:gridSpan w:val="3"/>
            <w:vMerge w:val="restart"/>
            <w:tcBorders>
              <w:bottom w:val="nil"/>
            </w:tcBorders>
            <w:vAlign w:val="top"/>
          </w:tcPr>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r>
              <w:rPr>
                <w:rFonts w:hint="eastAsia" w:ascii="宋体" w:hAnsi="宋体" w:eastAsia="宋体" w:cs="宋体"/>
                <w:sz w:val="16"/>
                <w:szCs w:val="16"/>
              </w:rPr>
              <w:t>资金管理情况</w:t>
            </w:r>
          </w:p>
        </w:tc>
        <w:tc>
          <w:tcPr>
            <w:tcW w:w="1738" w:type="dxa"/>
            <w:vAlign w:val="top"/>
          </w:tcPr>
          <w:p>
            <w:pPr>
              <w:jc w:val="center"/>
              <w:rPr>
                <w:rFonts w:hint="eastAsia" w:ascii="宋体" w:hAnsi="宋体" w:eastAsia="宋体" w:cs="宋体"/>
                <w:sz w:val="16"/>
                <w:szCs w:val="16"/>
              </w:rPr>
            </w:pPr>
          </w:p>
        </w:tc>
        <w:tc>
          <w:tcPr>
            <w:tcW w:w="2703" w:type="dxa"/>
            <w:gridSpan w:val="3"/>
            <w:vAlign w:val="top"/>
          </w:tcPr>
          <w:p>
            <w:pPr>
              <w:jc w:val="center"/>
              <w:rPr>
                <w:rFonts w:hint="eastAsia" w:ascii="宋体" w:hAnsi="宋体" w:eastAsia="宋体" w:cs="宋体"/>
                <w:sz w:val="16"/>
                <w:szCs w:val="16"/>
              </w:rPr>
            </w:pPr>
            <w:r>
              <w:rPr>
                <w:rFonts w:hint="eastAsia" w:ascii="宋体" w:hAnsi="宋体" w:eastAsia="宋体" w:cs="宋体"/>
                <w:sz w:val="16"/>
                <w:szCs w:val="16"/>
              </w:rPr>
              <w:t>情况说明</w:t>
            </w:r>
          </w:p>
        </w:tc>
        <w:tc>
          <w:tcPr>
            <w:tcW w:w="660" w:type="dxa"/>
            <w:vAlign w:val="top"/>
          </w:tcPr>
          <w:p>
            <w:pPr>
              <w:jc w:val="center"/>
              <w:rPr>
                <w:rFonts w:hint="eastAsia" w:ascii="宋体" w:hAnsi="宋体" w:eastAsia="宋体" w:cs="宋体"/>
                <w:sz w:val="16"/>
                <w:szCs w:val="16"/>
                <w:lang w:eastAsia="zh-CN"/>
              </w:rPr>
            </w:pPr>
            <w:r>
              <w:rPr>
                <w:rFonts w:hint="eastAsia" w:ascii="宋体" w:hAnsi="宋体" w:eastAsia="宋体" w:cs="宋体"/>
                <w:sz w:val="16"/>
                <w:szCs w:val="16"/>
              </w:rPr>
              <w:t>分值</w:t>
            </w:r>
          </w:p>
          <w:p>
            <w:pPr>
              <w:jc w:val="center"/>
              <w:rPr>
                <w:rFonts w:hint="eastAsia" w:ascii="宋体" w:hAnsi="宋体" w:eastAsia="宋体" w:cs="宋体"/>
                <w:sz w:val="16"/>
                <w:szCs w:val="16"/>
              </w:rPr>
            </w:pPr>
            <w:r>
              <w:rPr>
                <w:rFonts w:hint="eastAsia" w:ascii="宋体" w:hAnsi="宋体" w:eastAsia="宋体" w:cs="宋体"/>
                <w:sz w:val="16"/>
                <w:szCs w:val="16"/>
              </w:rPr>
              <w:t>(40)</w:t>
            </w:r>
          </w:p>
        </w:tc>
        <w:tc>
          <w:tcPr>
            <w:tcW w:w="53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016"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存在问题和改进措施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分配科学性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按照项目进度科学分配</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下达及时性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拨付合规性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拨付流程合规</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使用规范性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资金使用符合规范</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执行准确性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执行准确</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预算绩效管理悄况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预算绩效管理情况良好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支出责任履行情况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支出责任履行情况良好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政策目标实现情况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政策目标实现情况良好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 w:hRule="atLeast"/>
        </w:trPr>
        <w:tc>
          <w:tcPr>
            <w:tcW w:w="384" w:type="dxa"/>
            <w:vMerge w:val="restart"/>
            <w:tcBorders>
              <w:bottom w:val="nil"/>
            </w:tcBorders>
            <w:textDirection w:val="btLr"/>
            <w:vAlign w:val="top"/>
          </w:tcPr>
          <w:p>
            <w:pPr>
              <w:rPr>
                <w:rFonts w:hint="eastAsia" w:ascii="宋体" w:hAnsi="宋体" w:eastAsia="宋体" w:cs="宋体"/>
                <w:sz w:val="15"/>
                <w:szCs w:val="15"/>
                <w:lang w:val="en-US" w:eastAsia="zh-CN"/>
              </w:rPr>
            </w:pPr>
          </w:p>
        </w:tc>
        <w:tc>
          <w:tcPr>
            <w:tcW w:w="4715"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总体目标</w:t>
            </w:r>
          </w:p>
        </w:tc>
        <w:tc>
          <w:tcPr>
            <w:tcW w:w="4110"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全年实际完成情况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384" w:type="dxa"/>
            <w:vMerge w:val="continue"/>
            <w:tcBorders>
              <w:top w:val="nil"/>
            </w:tcBorders>
            <w:textDirection w:val="btLr"/>
            <w:vAlign w:val="top"/>
          </w:tcPr>
          <w:p>
            <w:pPr>
              <w:rPr>
                <w:rFonts w:hint="eastAsia" w:ascii="宋体" w:hAnsi="宋体" w:eastAsia="宋体" w:cs="宋体"/>
                <w:sz w:val="15"/>
                <w:szCs w:val="15"/>
              </w:rPr>
            </w:pPr>
          </w:p>
        </w:tc>
        <w:tc>
          <w:tcPr>
            <w:tcW w:w="4715" w:type="dxa"/>
            <w:gridSpan w:val="5"/>
            <w:vAlign w:val="top"/>
          </w:tcPr>
          <w:p>
            <w:pPr>
              <w:rPr>
                <w:rFonts w:hint="eastAsia" w:ascii="宋体" w:hAnsi="宋体" w:eastAsia="宋体" w:cs="宋体"/>
                <w:sz w:val="15"/>
                <w:szCs w:val="15"/>
              </w:rPr>
            </w:pPr>
            <w:r>
              <w:rPr>
                <w:rFonts w:hint="eastAsia" w:ascii="仿宋_GB2312" w:hAnsi="仿宋_GB2312" w:eastAsia="仿宋_GB2312" w:cs="仿宋_GB2312"/>
                <w:sz w:val="15"/>
                <w:szCs w:val="15"/>
                <w:lang w:val="en-US" w:eastAsia="zh-CN"/>
              </w:rPr>
              <w:t>2023年城镇保障性安居工程（城镇老旧小区改造）项目涉及项目</w:t>
            </w:r>
            <w:r>
              <w:rPr>
                <w:rFonts w:hint="eastAsia" w:ascii="仿宋_GB2312" w:hAnsi="仿宋_GB2312" w:eastAsia="仿宋_GB2312" w:cs="仿宋_GB2312"/>
                <w:sz w:val="15"/>
                <w:szCs w:val="15"/>
                <w:lang w:val="en-US" w:eastAsia="en-US"/>
              </w:rPr>
              <w:t>临河区2023年老旧小区改造配套基础设施建设项目</w:t>
            </w:r>
            <w:r>
              <w:rPr>
                <w:rFonts w:hint="eastAsia" w:ascii="仿宋_GB2312" w:hAnsi="仿宋_GB2312" w:eastAsia="仿宋_GB2312" w:cs="仿宋_GB2312"/>
                <w:sz w:val="15"/>
                <w:szCs w:val="15"/>
                <w:lang w:val="en-US" w:eastAsia="zh-CN"/>
              </w:rPr>
              <w:t>，改造涉及户数6617人，</w:t>
            </w:r>
            <w:r>
              <w:rPr>
                <w:rFonts w:hint="eastAsia" w:ascii="仿宋" w:hAnsi="仿宋" w:eastAsia="仿宋"/>
                <w:bCs/>
                <w:sz w:val="15"/>
                <w:szCs w:val="15"/>
                <w:lang w:eastAsia="zh-CN"/>
              </w:rPr>
              <w:t>项目涉及</w:t>
            </w:r>
            <w:r>
              <w:rPr>
                <w:rFonts w:hint="eastAsia" w:ascii="仿宋" w:hAnsi="仿宋" w:eastAsia="仿宋"/>
                <w:bCs/>
                <w:sz w:val="15"/>
                <w:szCs w:val="15"/>
                <w:lang w:val="en-US" w:eastAsia="zh-CN"/>
              </w:rPr>
              <w:t>55小区，183栋楼，6617户居民，建筑面积55.34万平方米，投资约10626万元。</w:t>
            </w:r>
          </w:p>
        </w:tc>
        <w:tc>
          <w:tcPr>
            <w:tcW w:w="4110" w:type="dxa"/>
            <w:gridSpan w:val="5"/>
            <w:vAlign w:val="top"/>
          </w:tcPr>
          <w:p>
            <w:pPr>
              <w:rPr>
                <w:rFonts w:hint="eastAsia" w:ascii="宋体" w:hAnsi="宋体" w:eastAsia="宋体" w:cs="宋体"/>
                <w:sz w:val="15"/>
                <w:szCs w:val="15"/>
                <w:lang w:val="en-US"/>
              </w:rPr>
            </w:pPr>
            <w:r>
              <w:rPr>
                <w:rFonts w:hint="eastAsia" w:ascii="仿宋_GB2312" w:hAnsi="仿宋_GB2312" w:eastAsia="仿宋_GB2312" w:cs="仿宋_GB2312"/>
                <w:sz w:val="15"/>
                <w:szCs w:val="15"/>
                <w:lang w:val="en-US" w:eastAsia="zh-CN"/>
              </w:rPr>
              <w:t>2023年城镇保障性安居工程（城镇老旧小区改造）项目涉及项目</w:t>
            </w:r>
            <w:r>
              <w:rPr>
                <w:rFonts w:hint="eastAsia" w:ascii="仿宋_GB2312" w:hAnsi="仿宋_GB2312" w:eastAsia="仿宋_GB2312" w:cs="仿宋_GB2312"/>
                <w:sz w:val="15"/>
                <w:szCs w:val="15"/>
                <w:lang w:val="en-US" w:eastAsia="en-US"/>
              </w:rPr>
              <w:t>临河区2023年老旧小区改造配套基础设施建设项目</w:t>
            </w:r>
            <w:r>
              <w:rPr>
                <w:rFonts w:hint="eastAsia" w:ascii="仿宋_GB2312" w:hAnsi="仿宋_GB2312" w:eastAsia="仿宋_GB2312" w:cs="仿宋_GB2312"/>
                <w:sz w:val="15"/>
                <w:szCs w:val="15"/>
                <w:lang w:val="en-US" w:eastAsia="zh-CN"/>
              </w:rPr>
              <w:t>，改造涉及户数6617人，</w:t>
            </w:r>
            <w:r>
              <w:rPr>
                <w:rFonts w:hint="eastAsia" w:ascii="仿宋" w:hAnsi="仿宋" w:eastAsia="仿宋"/>
                <w:bCs/>
                <w:sz w:val="15"/>
                <w:szCs w:val="15"/>
                <w:lang w:eastAsia="zh-CN"/>
              </w:rPr>
              <w:t>项目涉及</w:t>
            </w:r>
            <w:r>
              <w:rPr>
                <w:rFonts w:hint="eastAsia" w:ascii="仿宋" w:hAnsi="仿宋" w:eastAsia="仿宋"/>
                <w:bCs/>
                <w:sz w:val="15"/>
                <w:szCs w:val="15"/>
                <w:lang w:val="en-US" w:eastAsia="zh-CN"/>
              </w:rPr>
              <w:t>55小区，183栋楼，6617户居民，建筑面积55.34万平方米，投资约10626万元。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384"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绩效指标</w:t>
            </w:r>
          </w:p>
        </w:tc>
        <w:tc>
          <w:tcPr>
            <w:tcW w:w="37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一级 指标</w:t>
            </w:r>
          </w:p>
        </w:tc>
        <w:tc>
          <w:tcPr>
            <w:tcW w:w="79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二级指标</w:t>
            </w:r>
          </w:p>
        </w:tc>
        <w:tc>
          <w:tcPr>
            <w:tcW w:w="2637"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三级指标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指标值</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全年实际完 成值</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分值</w:t>
            </w:r>
          </w:p>
        </w:tc>
        <w:tc>
          <w:tcPr>
            <w:tcW w:w="53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016"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未完成原因和改进措施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产出指标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数量指标</w:t>
            </w: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改造涉及人数</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2000人</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2000人</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rPr>
              <w:t>项目</w:t>
            </w:r>
            <w:r>
              <w:rPr>
                <w:rFonts w:hint="eastAsia" w:ascii="宋体" w:hAnsi="宋体" w:eastAsia="宋体" w:cs="宋体"/>
                <w:sz w:val="16"/>
                <w:szCs w:val="16"/>
                <w:lang w:val="en-US" w:eastAsia="zh-CN"/>
              </w:rPr>
              <w:t>预算支出金额</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1385.44万元</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700万元</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质量指标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工程质量达标率</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改造后验收合格率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时效指标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开工及时率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改造</w:t>
            </w:r>
            <w:r>
              <w:rPr>
                <w:rFonts w:hint="eastAsia" w:ascii="宋体" w:hAnsi="宋体" w:eastAsia="宋体" w:cs="宋体"/>
                <w:sz w:val="16"/>
                <w:szCs w:val="16"/>
              </w:rPr>
              <w:t>及时率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成本指标</w:t>
            </w: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执行分类分级补助</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1385.44万元</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700万元</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成本控制率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textDirection w:val="tbRlV"/>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r>
              <w:rPr>
                <w:rFonts w:hint="eastAsia" w:ascii="宋体" w:hAnsi="宋体" w:eastAsia="宋体" w:cs="宋体"/>
                <w:sz w:val="16"/>
                <w:szCs w:val="16"/>
              </w:rPr>
              <w:t>……</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效益指标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经济效益 指标</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社会效益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项目建设有效改善居民环境</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lang w:val="en-US" w:eastAsia="zh-CN"/>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生态效益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建筑垃圾清运处理</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及时清运</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及时清运</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可持续影</w:t>
            </w:r>
          </w:p>
          <w:p>
            <w:pPr>
              <w:rPr>
                <w:rFonts w:hint="eastAsia" w:ascii="宋体" w:hAnsi="宋体" w:eastAsia="宋体" w:cs="宋体"/>
                <w:sz w:val="16"/>
                <w:szCs w:val="16"/>
              </w:rPr>
            </w:pPr>
            <w:r>
              <w:rPr>
                <w:rFonts w:hint="eastAsia" w:ascii="宋体" w:hAnsi="宋体" w:eastAsia="宋体" w:cs="宋体"/>
                <w:sz w:val="16"/>
                <w:szCs w:val="16"/>
              </w:rPr>
              <w:t>响指标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配套设施</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设施完善</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设施完善</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textDirection w:val="tbRlV"/>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满意</w:t>
            </w:r>
          </w:p>
          <w:p>
            <w:pPr>
              <w:rPr>
                <w:rFonts w:hint="eastAsia" w:ascii="宋体" w:hAnsi="宋体" w:eastAsia="宋体" w:cs="宋体"/>
                <w:sz w:val="16"/>
                <w:szCs w:val="16"/>
              </w:rPr>
            </w:pPr>
            <w:r>
              <w:rPr>
                <w:rFonts w:hint="eastAsia" w:ascii="宋体" w:hAnsi="宋体" w:eastAsia="宋体" w:cs="宋体"/>
                <w:sz w:val="16"/>
                <w:szCs w:val="16"/>
              </w:rPr>
              <w:t>度指</w:t>
            </w:r>
          </w:p>
          <w:p>
            <w:pPr>
              <w:rPr>
                <w:rFonts w:hint="eastAsia" w:ascii="宋体" w:hAnsi="宋体" w:eastAsia="宋体" w:cs="宋体"/>
                <w:sz w:val="16"/>
                <w:szCs w:val="16"/>
              </w:rPr>
            </w:pPr>
            <w:r>
              <w:rPr>
                <w:rFonts w:hint="eastAsia" w:ascii="宋体" w:hAnsi="宋体" w:eastAsia="宋体" w:cs="宋体"/>
                <w:sz w:val="16"/>
                <w:szCs w:val="16"/>
              </w:rPr>
              <w:t>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服务对象</w:t>
            </w:r>
          </w:p>
          <w:p>
            <w:pPr>
              <w:rPr>
                <w:rFonts w:hint="eastAsia" w:ascii="宋体" w:hAnsi="宋体" w:eastAsia="宋体" w:cs="宋体"/>
                <w:sz w:val="16"/>
                <w:szCs w:val="16"/>
              </w:rPr>
            </w:pPr>
            <w:r>
              <w:rPr>
                <w:rFonts w:hint="eastAsia" w:ascii="宋体" w:hAnsi="宋体" w:eastAsia="宋体" w:cs="宋体"/>
                <w:sz w:val="16"/>
                <w:szCs w:val="16"/>
              </w:rPr>
              <w:t>满意度指</w:t>
            </w:r>
          </w:p>
          <w:p>
            <w:pPr>
              <w:rPr>
                <w:rFonts w:hint="eastAsia" w:ascii="宋体" w:hAnsi="宋体" w:eastAsia="宋体" w:cs="宋体"/>
                <w:sz w:val="16"/>
                <w:szCs w:val="16"/>
              </w:rPr>
            </w:pPr>
            <w:r>
              <w:rPr>
                <w:rFonts w:hint="eastAsia" w:ascii="宋体" w:hAnsi="宋体" w:eastAsia="宋体" w:cs="宋体"/>
                <w:sz w:val="16"/>
                <w:szCs w:val="16"/>
              </w:rPr>
              <w:t>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受益对象满意度</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r>
              <w:rPr>
                <w:rFonts w:hint="eastAsia" w:ascii="宋体" w:hAnsi="宋体" w:eastAsia="宋体" w:cs="宋体"/>
                <w:sz w:val="16"/>
                <w:szCs w:val="16"/>
              </w:rPr>
              <w:t>*</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5994" w:type="dxa"/>
            <w:gridSpan w:val="7"/>
            <w:vAlign w:val="top"/>
          </w:tcPr>
          <w:p>
            <w:pPr>
              <w:rPr>
                <w:rFonts w:hint="eastAsia" w:ascii="宋体" w:hAnsi="宋体" w:eastAsia="宋体" w:cs="宋体"/>
                <w:sz w:val="16"/>
                <w:szCs w:val="16"/>
              </w:rPr>
            </w:pPr>
            <w:r>
              <w:rPr>
                <w:rFonts w:hint="eastAsia" w:ascii="宋体" w:hAnsi="宋体" w:eastAsia="宋体" w:cs="宋体"/>
                <w:sz w:val="16"/>
                <w:szCs w:val="16"/>
              </w:rPr>
              <w:t>总分</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100</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93.24</w:t>
            </w: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trPr>
        <w:tc>
          <w:tcPr>
            <w:tcW w:w="1553" w:type="dxa"/>
            <w:gridSpan w:val="3"/>
            <w:vAlign w:val="top"/>
          </w:tcPr>
          <w:p>
            <w:pPr>
              <w:rPr>
                <w:rFonts w:hint="eastAsia" w:ascii="宋体" w:hAnsi="宋体" w:eastAsia="宋体" w:cs="宋体"/>
                <w:sz w:val="16"/>
                <w:szCs w:val="16"/>
              </w:rPr>
            </w:pPr>
            <w:r>
              <w:rPr>
                <w:rFonts w:hint="eastAsia" w:ascii="宋体" w:hAnsi="宋体" w:eastAsia="宋体" w:cs="宋体"/>
                <w:sz w:val="16"/>
                <w:szCs w:val="16"/>
              </w:rPr>
              <w:t>说明</w:t>
            </w:r>
          </w:p>
        </w:tc>
        <w:tc>
          <w:tcPr>
            <w:tcW w:w="7656" w:type="dxa"/>
            <w:gridSpan w:val="8"/>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无</w:t>
            </w:r>
          </w:p>
        </w:tc>
      </w:tr>
    </w:tbl>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注：1.该表由中央主管部门填写，</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2.其他资金包括与中央财政资金、地方财政资金共同投入的自有资金、社会资金，以及以前年度的结转结余资金等。</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3.资金管理情况需汇总反映各级政府的资金管理情况，对违反预算管理规定行为的，原则上每发现1例扣0.5分，扣完为止。</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4. 专项转移支付无需填写“支出责任展行情况”项，相关分值(5分)分排到“分配科学性”、“下达及时性”、“拨付合规性”、 “使用规范性”和“政策目标实现情况”等5项上。</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5. 中央主管部门商财政部主管司局确定各项绩效指标分值权里，并根据全年实际完成情况填写得分，各项指标得分加总形成该转移支 付绩效自评总分，原则上， 一级指标分值设置为；资金投入情况10分、资金管理情况40分、产出指标30分、效益指标15分、满意度指标5 分。如有特殊情况，除资金投入情况、资金管理情况外，其他指标分值权重可适当调整(总分应为100分)。巡视、审计和财会监督中发 现问题的应酌情扣分。</w:t>
      </w:r>
    </w:p>
    <w:p>
      <w:pPr>
        <w:rPr>
          <w:rFonts w:hint="eastAsia" w:asciiTheme="minorEastAsia" w:hAnsiTheme="minorEastAsia" w:eastAsiaTheme="minorEastAsia" w:cstheme="minorEastAsia"/>
          <w:sz w:val="16"/>
          <w:szCs w:val="16"/>
        </w:rPr>
      </w:pPr>
    </w:p>
    <w:sectPr>
      <w:footerReference r:id="rId6" w:type="default"/>
      <w:pgSz w:w="12060" w:h="16950"/>
      <w:pgMar w:top="1276" w:right="1464" w:bottom="400" w:left="136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54A34B9-3D96-40AC-895A-1B8956FAEB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86D5BECC-50A3-4714-AB1C-C9BF5A5C4FB8}"/>
  </w:font>
  <w:font w:name="方正小标宋简体">
    <w:panose1 w:val="02000000000000000000"/>
    <w:charset w:val="86"/>
    <w:family w:val="roman"/>
    <w:pitch w:val="default"/>
    <w:sig w:usb0="A00002BF" w:usb1="184F6CFA" w:usb2="00000012" w:usb3="00000000" w:csb0="00040001" w:csb1="00000000"/>
    <w:embedRegular r:id="rId3" w:fontKey="{B28AEEA1-CED0-42E9-B9F8-D71CEF937904}"/>
  </w:font>
  <w:font w:name="仿宋_GB2312">
    <w:panose1 w:val="02010609030101010101"/>
    <w:charset w:val="86"/>
    <w:family w:val="auto"/>
    <w:pitch w:val="default"/>
    <w:sig w:usb0="00000001" w:usb1="080E0000" w:usb2="00000000" w:usb3="00000000" w:csb0="00040000" w:csb1="00000000"/>
    <w:embedRegular r:id="rId4" w:fontKey="{E563E307-F998-4D0A-97B4-47289C674F52}"/>
  </w:font>
  <w:font w:name="楷体_GB2312">
    <w:panose1 w:val="02010609030101010101"/>
    <w:charset w:val="86"/>
    <w:family w:val="auto"/>
    <w:pitch w:val="default"/>
    <w:sig w:usb0="00000001" w:usb1="080E0000" w:usb2="00000000" w:usb3="00000000" w:csb0="00040000" w:csb1="00000000"/>
    <w:embedRegular r:id="rId5" w:fontKey="{9A113CE1-0AEE-4C30-A7D6-0A863B6C5AB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rPr>
        <w:rFonts w:ascii="宋体" w:hAnsi="宋体" w:eastAsia="宋体" w:cs="宋体"/>
        <w:sz w:val="15"/>
        <w:szCs w:val="15"/>
      </w:rPr>
    </w:pPr>
    <w:r>
      <w:rPr>
        <w:sz w:val="15"/>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6B6927"/>
    <w:multiLevelType w:val="singleLevel"/>
    <w:tmpl w:val="F16B6927"/>
    <w:lvl w:ilvl="0" w:tentative="0">
      <w:start w:val="3"/>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RiOGJkYmZkZjliNTlmNzIxMjZlYjYwY2YxZjJiYWUifQ=="/>
  </w:docVars>
  <w:rsids>
    <w:rsidRoot w:val="00000000"/>
    <w:rsid w:val="007C6925"/>
    <w:rsid w:val="008579C2"/>
    <w:rsid w:val="00F52A8D"/>
    <w:rsid w:val="03951FC2"/>
    <w:rsid w:val="04B34B84"/>
    <w:rsid w:val="05450DB7"/>
    <w:rsid w:val="07943000"/>
    <w:rsid w:val="07E60096"/>
    <w:rsid w:val="08064073"/>
    <w:rsid w:val="08297BEC"/>
    <w:rsid w:val="0DFE0E0D"/>
    <w:rsid w:val="0E8909B2"/>
    <w:rsid w:val="0EB775D4"/>
    <w:rsid w:val="0EC25352"/>
    <w:rsid w:val="0F7B72A4"/>
    <w:rsid w:val="10DF3C80"/>
    <w:rsid w:val="11527D96"/>
    <w:rsid w:val="134C6044"/>
    <w:rsid w:val="14CF5677"/>
    <w:rsid w:val="17F6116D"/>
    <w:rsid w:val="1B44604E"/>
    <w:rsid w:val="1B4B7A22"/>
    <w:rsid w:val="1B99253B"/>
    <w:rsid w:val="1BEF4851"/>
    <w:rsid w:val="1D1E176A"/>
    <w:rsid w:val="214271D1"/>
    <w:rsid w:val="245A2A83"/>
    <w:rsid w:val="251A409D"/>
    <w:rsid w:val="252D3F34"/>
    <w:rsid w:val="25711C1B"/>
    <w:rsid w:val="267267AA"/>
    <w:rsid w:val="27412A15"/>
    <w:rsid w:val="274665B7"/>
    <w:rsid w:val="27D36DD5"/>
    <w:rsid w:val="29212150"/>
    <w:rsid w:val="2BC7500B"/>
    <w:rsid w:val="2C4B7881"/>
    <w:rsid w:val="2CD4576F"/>
    <w:rsid w:val="2CFA3055"/>
    <w:rsid w:val="2D8D7A26"/>
    <w:rsid w:val="2D96417E"/>
    <w:rsid w:val="30332B06"/>
    <w:rsid w:val="30EC403F"/>
    <w:rsid w:val="30FA3624"/>
    <w:rsid w:val="349D0E96"/>
    <w:rsid w:val="36213401"/>
    <w:rsid w:val="3C636521"/>
    <w:rsid w:val="3C850B8E"/>
    <w:rsid w:val="40D5662E"/>
    <w:rsid w:val="414D154E"/>
    <w:rsid w:val="418A27A2"/>
    <w:rsid w:val="431B7F04"/>
    <w:rsid w:val="43F2118C"/>
    <w:rsid w:val="44AB2F18"/>
    <w:rsid w:val="4506163C"/>
    <w:rsid w:val="465F1300"/>
    <w:rsid w:val="4B517E8D"/>
    <w:rsid w:val="4C677FDE"/>
    <w:rsid w:val="4DB65B27"/>
    <w:rsid w:val="4E0F7855"/>
    <w:rsid w:val="4E7B76FB"/>
    <w:rsid w:val="50BB4726"/>
    <w:rsid w:val="518D349F"/>
    <w:rsid w:val="522C63AF"/>
    <w:rsid w:val="523A78CD"/>
    <w:rsid w:val="541D3002"/>
    <w:rsid w:val="54CB6F02"/>
    <w:rsid w:val="54F975CB"/>
    <w:rsid w:val="5A0F130F"/>
    <w:rsid w:val="5A351925"/>
    <w:rsid w:val="5E1831B8"/>
    <w:rsid w:val="5E60057E"/>
    <w:rsid w:val="5FDE3F8D"/>
    <w:rsid w:val="604823EC"/>
    <w:rsid w:val="623B2D9A"/>
    <w:rsid w:val="63F20F2C"/>
    <w:rsid w:val="6511270F"/>
    <w:rsid w:val="663B25E3"/>
    <w:rsid w:val="67334E8F"/>
    <w:rsid w:val="69A27DD9"/>
    <w:rsid w:val="6B306725"/>
    <w:rsid w:val="6D5668CC"/>
    <w:rsid w:val="6D6A50B2"/>
    <w:rsid w:val="6ED722D3"/>
    <w:rsid w:val="6F77163A"/>
    <w:rsid w:val="72FF0A25"/>
    <w:rsid w:val="74475E69"/>
    <w:rsid w:val="758C5AF1"/>
    <w:rsid w:val="765633BC"/>
    <w:rsid w:val="7A697680"/>
    <w:rsid w:val="7AEF45F7"/>
    <w:rsid w:val="7B7535A0"/>
    <w:rsid w:val="7E723DC7"/>
    <w:rsid w:val="7F5A32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autoRedefine/>
    <w:semiHidden/>
    <w:qFormat/>
    <w:uiPriority w:val="0"/>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9"/>
      <w:szCs w:val="29"/>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15"/>
      <w:szCs w:val="1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3926</Words>
  <Characters>4270</Characters>
  <TotalTime>6</TotalTime>
  <ScaleCrop>false</ScaleCrop>
  <LinksUpToDate>false</LinksUpToDate>
  <CharactersWithSpaces>4310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2024-05-27T11:45:00Z</dcterms:created>
  <dc:creator>Administrator</dc:creator>
  <cp:lastModifiedBy>Yilly</cp:lastModifiedBy>
  <cp:lastPrinted>2024-05-28T09:54:00Z</cp:lastPrinted>
  <dcterms:modified xsi:type="dcterms:W3CDTF">2024-06-13T08:49:47Z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2024-05-27T11:45:31Z</vt:filetime>
  </property>
  <property fmtid="{D5CDD505-2E9C-101B-9397-08002B2CF9AE}" pid="4" name="UsrData">
    <vt:lpwstr>665401d53c20970020784f42wl</vt:lpwstr>
  </property>
  <property fmtid="{D5CDD505-2E9C-101B-9397-08002B2CF9AE}" pid="5" name="KSOProductBuildVer">
    <vt:lpwstr>2052-12.1.0.16929</vt:lpwstr>
  </property>
  <property fmtid="{D5CDD505-2E9C-101B-9397-08002B2CF9AE}" pid="6" name="ICV">
    <vt:lpwstr>B05E27DC9E484ABCA0C7324E18B44852_13</vt:lpwstr>
  </property>
</Properties>
</file>