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firstLine="254"/>
        <w:spacing w:line="2347" w:lineRule="exact"/>
        <w:rPr/>
      </w:pPr>
      <w:r>
        <w:rPr>
          <w:position w:val="-46"/>
        </w:rPr>
        <w:drawing>
          <wp:inline distT="0" distB="0" distL="0" distR="0">
            <wp:extent cx="5384828" cy="1490331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84828" cy="149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2574"/>
        <w:spacing w:before="101" w:line="222" w:lineRule="auto"/>
        <w:rPr/>
      </w:pPr>
      <w:r>
        <w:rPr/>
        <w:t>内市监餐饮字〔2021〕29</w:t>
      </w:r>
      <w:r>
        <w:rPr>
          <w:spacing w:val="-43"/>
        </w:rPr>
        <w:t xml:space="preserve"> </w:t>
      </w:r>
      <w:r>
        <w:rPr/>
        <w:t>号</w:t>
      </w:r>
    </w:p>
    <w:p>
      <w:pPr>
        <w:spacing w:before="50" w:line="45" w:lineRule="exact"/>
        <w:rPr/>
      </w:pPr>
      <w:r>
        <w:rPr/>
        <w:drawing>
          <wp:inline distT="0" distB="0" distL="0" distR="0">
            <wp:extent cx="5579744" cy="285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7974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2349"/>
        <w:spacing w:before="140" w:line="221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7"/>
        </w:rPr>
        <w:t>自治区市场监管局关于</w:t>
      </w:r>
    </w:p>
    <w:p>
      <w:pPr>
        <w:ind w:left="758"/>
        <w:spacing w:before="26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</w:rPr>
        <w:t>落实《内蒙古自治区餐饮服务风险分级</w:t>
      </w:r>
    </w:p>
    <w:p>
      <w:pPr>
        <w:ind w:left="1959"/>
        <w:spacing w:line="604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18"/>
          <w:position w:val="3"/>
        </w:rPr>
        <w:t>管理办法（试行）》的通知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41"/>
        <w:spacing w:before="101" w:line="222" w:lineRule="auto"/>
        <w:rPr/>
      </w:pPr>
      <w:r>
        <w:rPr>
          <w:spacing w:val="5"/>
        </w:rPr>
        <w:t>各盟市及满洲里、二连浩特市市场监督管理局：</w:t>
      </w:r>
    </w:p>
    <w:p>
      <w:pPr>
        <w:pStyle w:val="BodyText"/>
        <w:ind w:left="54" w:right="166" w:firstLine="614"/>
        <w:spacing w:before="190" w:line="322" w:lineRule="auto"/>
        <w:rPr/>
      </w:pPr>
      <w:r>
        <w:rPr>
          <w:spacing w:val="-10"/>
        </w:rPr>
        <w:t>《内蒙古自治区餐饮服务风险分级管理办法》（</w:t>
      </w:r>
      <w:r>
        <w:rPr>
          <w:spacing w:val="-46"/>
        </w:rPr>
        <w:t xml:space="preserve"> </w:t>
      </w:r>
      <w:r>
        <w:rPr>
          <w:spacing w:val="-10"/>
        </w:rPr>
        <w:t>以下简称《办</w:t>
      </w:r>
      <w:r>
        <w:rPr/>
        <w:t xml:space="preserve"> </w:t>
      </w:r>
      <w:r>
        <w:rPr>
          <w:spacing w:val="-6"/>
        </w:rPr>
        <w:t>法》）日前已经印发。为做好餐饮服务风险分级管理工作，特提出</w:t>
      </w:r>
      <w:r>
        <w:rPr>
          <w:spacing w:val="7"/>
        </w:rPr>
        <w:t xml:space="preserve"> </w:t>
      </w:r>
      <w:r>
        <w:rPr>
          <w:spacing w:val="3"/>
        </w:rPr>
        <w:t>以下要求，请认真贯彻执行。</w:t>
      </w:r>
    </w:p>
    <w:p>
      <w:pPr>
        <w:ind w:left="693"/>
        <w:spacing w:before="5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5"/>
        </w:rPr>
        <w:t>一、充分认识餐饮食品经营风险分级管理重要意义</w:t>
      </w:r>
    </w:p>
    <w:p>
      <w:pPr>
        <w:pStyle w:val="BodyText"/>
        <w:ind w:left="41" w:firstLine="656"/>
        <w:spacing w:before="181" w:line="327" w:lineRule="auto"/>
        <w:rPr/>
      </w:pPr>
      <w:r>
        <w:rPr>
          <w:spacing w:val="9"/>
        </w:rPr>
        <w:t>开展餐饮服务风险分级管理是落实食品安全法</w:t>
      </w:r>
      <w:r>
        <w:rPr>
          <w:spacing w:val="-103"/>
        </w:rPr>
        <w:t xml:space="preserve"> </w:t>
      </w:r>
      <w:r>
        <w:rPr>
          <w:spacing w:val="9"/>
        </w:rPr>
        <w:t>“风险管理”</w:t>
      </w:r>
      <w:r>
        <w:rPr/>
        <w:t xml:space="preserve"> </w:t>
      </w:r>
      <w:r>
        <w:rPr>
          <w:spacing w:val="6"/>
        </w:rPr>
        <w:t>理念的主要途径，也是提高食品安全风险管控能力的重要手段。</w:t>
      </w:r>
      <w:r>
        <w:rPr>
          <w:spacing w:val="7"/>
        </w:rPr>
        <w:t xml:space="preserve">  </w:t>
      </w:r>
      <w:r>
        <w:rPr>
          <w:spacing w:val="5"/>
        </w:rPr>
        <w:t>各盟市市场监管局要切实提高实施餐饮服务风险分级管理重要性</w:t>
      </w:r>
      <w:r>
        <w:rPr>
          <w:spacing w:val="8"/>
        </w:rPr>
        <w:t xml:space="preserve">  </w:t>
      </w:r>
      <w:r>
        <w:rPr>
          <w:spacing w:val="5"/>
        </w:rPr>
        <w:t>认识，按照《办法》规定要求，扎实、有效、有序地开展餐饮服</w:t>
      </w:r>
      <w:r>
        <w:rPr>
          <w:spacing w:val="8"/>
        </w:rPr>
        <w:t xml:space="preserve">  </w:t>
      </w:r>
      <w:r>
        <w:rPr>
          <w:spacing w:val="5"/>
        </w:rPr>
        <w:t>务风险分级管理工作，进一步提高餐饮经营环节食品安全监管科</w:t>
      </w:r>
    </w:p>
    <w:p>
      <w:pPr>
        <w:spacing w:line="327" w:lineRule="auto"/>
        <w:sectPr>
          <w:footerReference w:type="default" r:id="rId1"/>
          <w:pgSz w:w="11906" w:h="16839"/>
          <w:pgMar w:top="1431" w:right="1304" w:bottom="1160" w:left="1556" w:header="0" w:footer="847" w:gutter="0"/>
        </w:sectPr>
        <w:rPr/>
      </w:pPr>
    </w:p>
    <w:p>
      <w:pPr>
        <w:pStyle w:val="BodyText"/>
        <w:ind w:left="24"/>
        <w:spacing w:before="64" w:line="220" w:lineRule="auto"/>
        <w:rPr/>
      </w:pPr>
      <w:r>
        <w:rPr>
          <w:spacing w:val="2"/>
        </w:rPr>
        <w:t>学性、靶向性和有效性。</w:t>
      </w:r>
    </w:p>
    <w:p>
      <w:pPr>
        <w:ind w:left="656"/>
        <w:spacing w:before="188" w:line="226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</w:rPr>
        <w:t>二、《办法》实施步骤及相关工作完成要求</w:t>
      </w:r>
    </w:p>
    <w:p>
      <w:pPr>
        <w:pStyle w:val="BodyText"/>
        <w:ind w:right="14" w:firstLine="643"/>
        <w:spacing w:before="185" w:line="317" w:lineRule="auto"/>
        <w:rPr/>
      </w:pPr>
      <w:r>
        <w:rPr>
          <w:rFonts w:ascii="KaiTi" w:hAnsi="KaiTi" w:eastAsia="KaiTi" w:cs="KaiTi"/>
          <w:spacing w:val="5"/>
        </w:rPr>
        <w:t>（一）进一步完善监管系统数据库。</w:t>
      </w:r>
      <w:r>
        <w:rPr>
          <w:spacing w:val="5"/>
        </w:rPr>
        <w:t>为确保餐饮服务风险分</w:t>
      </w:r>
      <w:r>
        <w:rPr>
          <w:spacing w:val="7"/>
        </w:rPr>
        <w:t xml:space="preserve"> </w:t>
      </w:r>
      <w:r>
        <w:rPr/>
        <w:t>级管理工作顺利开展，2021</w:t>
      </w:r>
      <w:r>
        <w:rPr>
          <w:spacing w:val="-56"/>
        </w:rPr>
        <w:t xml:space="preserve"> </w:t>
      </w:r>
      <w:r>
        <w:rPr/>
        <w:t>年</w:t>
      </w:r>
      <w:r>
        <w:rPr>
          <w:spacing w:val="-45"/>
        </w:rPr>
        <w:t xml:space="preserve"> </w:t>
      </w:r>
      <w:r>
        <w:rPr/>
        <w:t>1</w:t>
      </w:r>
      <w:r>
        <w:rPr>
          <w:spacing w:val="-51"/>
        </w:rPr>
        <w:t xml:space="preserve"> </w:t>
      </w:r>
      <w:r>
        <w:rPr/>
        <w:t>月底前，各盟市局要完成餐饮食</w:t>
      </w:r>
      <w:r>
        <w:rPr/>
        <w:t xml:space="preserve"> </w:t>
      </w:r>
      <w:r>
        <w:rPr>
          <w:spacing w:val="6"/>
        </w:rPr>
        <w:t>品提供者主体相关数据库补录，重点完善相关主</w:t>
      </w:r>
      <w:r>
        <w:rPr>
          <w:spacing w:val="5"/>
        </w:rPr>
        <w:t>体信息。按照市</w:t>
      </w:r>
      <w:r>
        <w:rPr/>
        <w:t xml:space="preserve"> </w:t>
      </w:r>
      <w:r>
        <w:rPr>
          <w:spacing w:val="6"/>
        </w:rPr>
        <w:t>场监管总局统计工作新要求，各盟市局要进一步</w:t>
      </w:r>
      <w:r>
        <w:rPr>
          <w:spacing w:val="5"/>
        </w:rPr>
        <w:t>完善餐饮服务提</w:t>
      </w:r>
      <w:r>
        <w:rPr/>
        <w:t xml:space="preserve"> </w:t>
      </w:r>
      <w:r>
        <w:rPr>
          <w:spacing w:val="6"/>
        </w:rPr>
        <w:t>供者相关信息。要补齐主体数量，做到应补尽补</w:t>
      </w:r>
      <w:r>
        <w:rPr>
          <w:spacing w:val="5"/>
        </w:rPr>
        <w:t>，无遗漏。对不</w:t>
      </w:r>
      <w:r>
        <w:rPr/>
        <w:t xml:space="preserve"> </w:t>
      </w:r>
      <w:r>
        <w:rPr>
          <w:spacing w:val="6"/>
        </w:rPr>
        <w:t>再经营的要及时从主体数据库中清除，保持数据</w:t>
      </w:r>
      <w:r>
        <w:rPr>
          <w:spacing w:val="5"/>
        </w:rPr>
        <w:t>库的准确，尤其</w:t>
      </w:r>
      <w:r>
        <w:rPr/>
        <w:t xml:space="preserve"> </w:t>
      </w:r>
      <w:r>
        <w:rPr>
          <w:spacing w:val="5"/>
        </w:rPr>
        <w:t>要及时在内蒙古自治区风险管控平台系统予以注销。</w:t>
      </w:r>
    </w:p>
    <w:p>
      <w:pPr>
        <w:pStyle w:val="BodyText"/>
        <w:ind w:right="14" w:firstLine="631"/>
        <w:spacing w:before="187" w:line="315" w:lineRule="auto"/>
        <w:rPr/>
      </w:pPr>
      <w:r>
        <w:rPr>
          <w:rFonts w:ascii="KaiTi" w:hAnsi="KaiTi" w:eastAsia="KaiTi" w:cs="KaiTi"/>
          <w:spacing w:val="6"/>
        </w:rPr>
        <w:t>（二）餐饮服务风险分级等级评定时限要求</w:t>
      </w:r>
      <w:r>
        <w:rPr>
          <w:rFonts w:ascii="KaiTi" w:hAnsi="KaiTi" w:eastAsia="KaiTi" w:cs="KaiTi"/>
          <w:spacing w:val="5"/>
        </w:rPr>
        <w:t>。</w:t>
      </w:r>
      <w:r>
        <w:rPr>
          <w:spacing w:val="5"/>
        </w:rPr>
        <w:t>各盟市局要按</w:t>
      </w:r>
      <w:r>
        <w:rPr/>
        <w:t xml:space="preserve"> </w:t>
      </w:r>
      <w:r>
        <w:rPr>
          <w:spacing w:val="6"/>
        </w:rPr>
        <w:t>照《办法》相关规定要求，应分别根据各类餐饮</w:t>
      </w:r>
      <w:r>
        <w:rPr>
          <w:spacing w:val="5"/>
        </w:rPr>
        <w:t>服务提供者《静</w:t>
      </w:r>
      <w:r>
        <w:rPr/>
        <w:t xml:space="preserve"> </w:t>
      </w:r>
      <w:r>
        <w:rPr>
          <w:spacing w:val="-5"/>
        </w:rPr>
        <w:t>态风险因素量化分值表》《动态风险因素量化分值表》或</w:t>
      </w:r>
      <w:r>
        <w:rPr>
          <w:spacing w:val="-6"/>
        </w:rPr>
        <w:t>《风险因</w:t>
      </w:r>
      <w:r>
        <w:rPr/>
        <w:t xml:space="preserve"> </w:t>
      </w:r>
      <w:r>
        <w:rPr>
          <w:spacing w:val="-3"/>
        </w:rPr>
        <w:t>素量化分值表》所列项目，于</w:t>
      </w:r>
      <w:r>
        <w:rPr>
          <w:spacing w:val="-54"/>
        </w:rPr>
        <w:t xml:space="preserve"> </w:t>
      </w:r>
      <w:r>
        <w:rPr>
          <w:spacing w:val="-3"/>
        </w:rPr>
        <w:t>2021</w:t>
      </w:r>
      <w:r>
        <w:rPr>
          <w:spacing w:val="-63"/>
        </w:rPr>
        <w:t xml:space="preserve"> </w:t>
      </w:r>
      <w:r>
        <w:rPr>
          <w:spacing w:val="-3"/>
        </w:rPr>
        <w:t>年</w:t>
      </w:r>
      <w:r>
        <w:rPr>
          <w:spacing w:val="-49"/>
        </w:rPr>
        <w:t xml:space="preserve"> </w:t>
      </w:r>
      <w:r>
        <w:rPr>
          <w:spacing w:val="-3"/>
        </w:rPr>
        <w:t>5</w:t>
      </w:r>
      <w:r>
        <w:rPr>
          <w:spacing w:val="-48"/>
        </w:rPr>
        <w:t xml:space="preserve"> </w:t>
      </w:r>
      <w:r>
        <w:rPr>
          <w:spacing w:val="-3"/>
        </w:rPr>
        <w:t>月底前，完成餐饮服务提</w:t>
      </w:r>
      <w:r>
        <w:rPr/>
        <w:t xml:space="preserve"> </w:t>
      </w:r>
      <w:r>
        <w:rPr>
          <w:spacing w:val="6"/>
        </w:rPr>
        <w:t>供者静态风险因素、动态风险因素量化分值或风</w:t>
      </w:r>
      <w:r>
        <w:rPr>
          <w:spacing w:val="5"/>
        </w:rPr>
        <w:t>险因素量化分值</w:t>
      </w:r>
      <w:r>
        <w:rPr/>
        <w:t xml:space="preserve"> </w:t>
      </w:r>
      <w:r>
        <w:rPr>
          <w:spacing w:val="4"/>
        </w:rPr>
        <w:t>现场评定工作。</w:t>
      </w:r>
    </w:p>
    <w:p>
      <w:pPr>
        <w:pStyle w:val="BodyText"/>
        <w:ind w:left="9" w:right="14" w:firstLine="633"/>
        <w:spacing w:before="186" w:line="315" w:lineRule="auto"/>
        <w:rPr/>
      </w:pPr>
      <w:r>
        <w:rPr>
          <w:rFonts w:ascii="KaiTi" w:hAnsi="KaiTi" w:eastAsia="KaiTi" w:cs="KaiTi"/>
          <w:spacing w:val="-7"/>
        </w:rPr>
        <w:t>（三）严格餐饮服务风险等级评定工作。</w:t>
      </w:r>
      <w:r>
        <w:rPr>
          <w:spacing w:val="-7"/>
        </w:rPr>
        <w:t>各盟市局要按照《办</w:t>
      </w:r>
      <w:r>
        <w:rPr>
          <w:spacing w:val="16"/>
        </w:rPr>
        <w:t xml:space="preserve"> </w:t>
      </w:r>
      <w:r>
        <w:rPr>
          <w:spacing w:val="5"/>
        </w:rPr>
        <w:t>法》规定要求严格评定标准和程序，对餐饮服务提供者取现场风</w:t>
      </w:r>
      <w:r>
        <w:rPr>
          <w:spacing w:val="11"/>
        </w:rPr>
        <w:t xml:space="preserve"> </w:t>
      </w:r>
      <w:r>
        <w:rPr>
          <w:spacing w:val="5"/>
        </w:rPr>
        <w:t>险等级评定方式，做到逐户摸底、逐户采集、逐户补录、逐户定</w:t>
      </w:r>
      <w:r>
        <w:rPr>
          <w:spacing w:val="11"/>
        </w:rPr>
        <w:t xml:space="preserve"> </w:t>
      </w:r>
      <w:r>
        <w:rPr>
          <w:spacing w:val="5"/>
        </w:rPr>
        <w:t>级、逐户检查，杜绝闭门造车、凭空捏造等情形发生。要按时限</w:t>
      </w:r>
      <w:r>
        <w:rPr>
          <w:spacing w:val="11"/>
        </w:rPr>
        <w:t xml:space="preserve"> </w:t>
      </w:r>
      <w:r>
        <w:rPr>
          <w:spacing w:val="17"/>
        </w:rPr>
        <w:t>要求高质量高标准完成全区餐饮服务经营主体风险等级评定工</w:t>
      </w:r>
      <w:r>
        <w:rPr>
          <w:spacing w:val="2"/>
        </w:rPr>
        <w:t xml:space="preserve"> </w:t>
      </w:r>
      <w:r>
        <w:rPr>
          <w:spacing w:val="-4"/>
        </w:rPr>
        <w:t>作。</w:t>
      </w:r>
    </w:p>
    <w:p>
      <w:pPr>
        <w:pStyle w:val="BodyText"/>
        <w:ind w:left="14" w:firstLine="649"/>
        <w:spacing w:before="188" w:line="324" w:lineRule="auto"/>
        <w:jc w:val="both"/>
        <w:rPr/>
      </w:pPr>
      <w:r>
        <w:rPr>
          <w:spacing w:val="1"/>
        </w:rPr>
        <w:t>2021</w:t>
      </w:r>
      <w:r>
        <w:rPr>
          <w:spacing w:val="-52"/>
        </w:rPr>
        <w:t xml:space="preserve"> </w:t>
      </w:r>
      <w:r>
        <w:rPr>
          <w:spacing w:val="1"/>
        </w:rPr>
        <w:t>年度，按照内蒙古自治区食品安全年度考核工作部署，</w:t>
      </w:r>
      <w:r>
        <w:rPr/>
        <w:t xml:space="preserve"> </w:t>
      </w:r>
      <w:r>
        <w:rPr>
          <w:spacing w:val="6"/>
        </w:rPr>
        <w:t>自治区市场监管局将各盟市局餐饮服务风险分</w:t>
      </w:r>
      <w:r>
        <w:rPr>
          <w:spacing w:val="5"/>
        </w:rPr>
        <w:t>级管理工作成效，</w:t>
      </w:r>
      <w:r>
        <w:rPr/>
        <w:t xml:space="preserve"> </w:t>
      </w:r>
      <w:r>
        <w:rPr>
          <w:spacing w:val="4"/>
        </w:rPr>
        <w:t>纳入到对盟市食品安全考核。</w:t>
      </w:r>
    </w:p>
    <w:p>
      <w:pPr>
        <w:ind w:left="646"/>
        <w:spacing w:before="48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</w:rPr>
        <w:t>三、关于风险分级工作的几点说明</w:t>
      </w:r>
    </w:p>
    <w:p>
      <w:pPr>
        <w:spacing w:line="226" w:lineRule="auto"/>
        <w:sectPr>
          <w:footerReference w:type="default" r:id="rId4"/>
          <w:pgSz w:w="11906" w:h="16839"/>
          <w:pgMar w:top="1246" w:right="1456" w:bottom="1160" w:left="1592" w:header="0" w:footer="847" w:gutter="0"/>
        </w:sectPr>
        <w:rPr>
          <w:rFonts w:ascii="SimHei" w:hAnsi="SimHei" w:eastAsia="SimHei" w:cs="SimHei"/>
          <w:sz w:val="31"/>
          <w:szCs w:val="31"/>
        </w:rPr>
      </w:pPr>
    </w:p>
    <w:p>
      <w:pPr>
        <w:pStyle w:val="BodyText"/>
        <w:ind w:left="128" w:right="105" w:firstLine="629"/>
        <w:spacing w:before="62" w:line="324" w:lineRule="auto"/>
        <w:jc w:val="both"/>
        <w:rPr/>
      </w:pPr>
      <w:r>
        <w:rPr>
          <w:rFonts w:ascii="KaiTi" w:hAnsi="KaiTi" w:eastAsia="KaiTi" w:cs="KaiTi"/>
          <w:spacing w:val="1"/>
        </w:rPr>
        <w:t>（一）关于</w:t>
      </w:r>
      <w:r>
        <w:rPr>
          <w:rFonts w:ascii="KaiTi" w:hAnsi="KaiTi" w:eastAsia="KaiTi" w:cs="KaiTi"/>
          <w:spacing w:val="-91"/>
        </w:rPr>
        <w:t xml:space="preserve"> </w:t>
      </w:r>
      <w:r>
        <w:rPr>
          <w:rFonts w:ascii="KaiTi" w:hAnsi="KaiTi" w:eastAsia="KaiTi" w:cs="KaiTi"/>
          <w:spacing w:val="1"/>
        </w:rPr>
        <w:t>“校园周边</w:t>
      </w:r>
      <w:r>
        <w:rPr>
          <w:rFonts w:ascii="KaiTi" w:hAnsi="KaiTi" w:eastAsia="KaiTi" w:cs="KaiTi"/>
          <w:spacing w:val="-56"/>
        </w:rPr>
        <w:t xml:space="preserve"> </w:t>
      </w:r>
      <w:r>
        <w:rPr>
          <w:rFonts w:ascii="KaiTi" w:hAnsi="KaiTi" w:eastAsia="KaiTi" w:cs="KaiTi"/>
          <w:spacing w:val="1"/>
        </w:rPr>
        <w:t>200</w:t>
      </w:r>
      <w:r>
        <w:rPr>
          <w:rFonts w:ascii="KaiTi" w:hAnsi="KaiTi" w:eastAsia="KaiTi" w:cs="KaiTi"/>
          <w:spacing w:val="-67"/>
        </w:rPr>
        <w:t xml:space="preserve"> </w:t>
      </w:r>
      <w:r>
        <w:rPr>
          <w:rFonts w:ascii="KaiTi" w:hAnsi="KaiTi" w:eastAsia="KaiTi" w:cs="KaiTi"/>
          <w:spacing w:val="1"/>
        </w:rPr>
        <w:t>米范围内”说明。</w:t>
      </w:r>
      <w:r>
        <w:rPr>
          <w:spacing w:val="1"/>
        </w:rPr>
        <w:t>校园周边</w:t>
      </w:r>
      <w:r>
        <w:rPr>
          <w:spacing w:val="-55"/>
        </w:rPr>
        <w:t xml:space="preserve"> </w:t>
      </w:r>
      <w:r>
        <w:rPr>
          <w:spacing w:val="1"/>
        </w:rPr>
        <w:t>200</w:t>
      </w:r>
      <w:r>
        <w:rPr/>
        <w:t xml:space="preserve"> </w:t>
      </w:r>
      <w:r>
        <w:rPr>
          <w:spacing w:val="5"/>
        </w:rPr>
        <w:t>米范围内指学校校门向外辐射</w:t>
      </w:r>
      <w:r>
        <w:rPr>
          <w:spacing w:val="-51"/>
        </w:rPr>
        <w:t xml:space="preserve"> </w:t>
      </w:r>
      <w:r>
        <w:rPr>
          <w:spacing w:val="5"/>
        </w:rPr>
        <w:t>200</w:t>
      </w:r>
      <w:r>
        <w:rPr>
          <w:spacing w:val="-53"/>
        </w:rPr>
        <w:t xml:space="preserve"> </w:t>
      </w:r>
      <w:r>
        <w:rPr>
          <w:spacing w:val="5"/>
        </w:rPr>
        <w:t>米距离范围内。校园</w:t>
      </w:r>
      <w:r>
        <w:rPr>
          <w:spacing w:val="4"/>
        </w:rPr>
        <w:t>周边</w:t>
      </w:r>
      <w:r>
        <w:rPr>
          <w:spacing w:val="-51"/>
        </w:rPr>
        <w:t xml:space="preserve"> </w:t>
      </w:r>
      <w:r>
        <w:rPr>
          <w:spacing w:val="4"/>
        </w:rPr>
        <w:t>200</w:t>
      </w:r>
      <w:r>
        <w:rPr/>
        <w:t xml:space="preserve"> </w:t>
      </w:r>
      <w:r>
        <w:rPr>
          <w:spacing w:val="5"/>
        </w:rPr>
        <w:t>米范围内的餐饮服务提供者仅包括社会餐饮服务</w:t>
      </w:r>
      <w:r>
        <w:rPr>
          <w:spacing w:val="4"/>
        </w:rPr>
        <w:t>经营者。</w:t>
      </w:r>
    </w:p>
    <w:p>
      <w:pPr>
        <w:pStyle w:val="BodyText"/>
        <w:ind w:left="124" w:right="104" w:firstLine="632"/>
        <w:spacing w:before="49" w:line="323" w:lineRule="auto"/>
        <w:jc w:val="both"/>
        <w:rPr/>
      </w:pPr>
      <w:r>
        <w:rPr>
          <w:rFonts w:ascii="KaiTi" w:hAnsi="KaiTi" w:eastAsia="KaiTi" w:cs="KaiTi"/>
          <w:spacing w:val="1"/>
        </w:rPr>
        <w:t>（</w:t>
      </w:r>
      <w:r>
        <w:rPr>
          <w:rFonts w:ascii="KaiTi" w:hAnsi="KaiTi" w:eastAsia="KaiTi" w:cs="KaiTi"/>
          <w:spacing w:val="-93"/>
        </w:rPr>
        <w:t xml:space="preserve"> </w:t>
      </w:r>
      <w:r>
        <w:rPr>
          <w:rFonts w:ascii="KaiTi" w:hAnsi="KaiTi" w:eastAsia="KaiTi" w:cs="KaiTi"/>
          <w:spacing w:val="1"/>
        </w:rPr>
        <w:t>二）关于《办法》附表</w:t>
      </w:r>
      <w:r>
        <w:rPr>
          <w:rFonts w:ascii="KaiTi" w:hAnsi="KaiTi" w:eastAsia="KaiTi" w:cs="KaiTi"/>
          <w:spacing w:val="-51"/>
        </w:rPr>
        <w:t xml:space="preserve"> </w:t>
      </w:r>
      <w:r>
        <w:rPr>
          <w:rFonts w:ascii="KaiTi" w:hAnsi="KaiTi" w:eastAsia="KaiTi" w:cs="KaiTi"/>
          <w:spacing w:val="1"/>
        </w:rPr>
        <w:t>5</w:t>
      </w:r>
      <w:r>
        <w:rPr>
          <w:rFonts w:ascii="KaiTi" w:hAnsi="KaiTi" w:eastAsia="KaiTi" w:cs="KaiTi"/>
          <w:spacing w:val="1"/>
        </w:rPr>
        <w:t xml:space="preserve"> </w:t>
      </w:r>
      <w:r>
        <w:rPr>
          <w:rFonts w:ascii="KaiTi" w:hAnsi="KaiTi" w:eastAsia="KaiTi" w:cs="KaiTi"/>
          <w:spacing w:val="1"/>
        </w:rPr>
        <w:t>的说明。</w:t>
      </w:r>
      <w:r>
        <w:rPr>
          <w:spacing w:val="1"/>
        </w:rPr>
        <w:t>有的盟市反</w:t>
      </w:r>
      <w:r>
        <w:rPr/>
        <w:t>映，附表</w:t>
      </w:r>
      <w:r>
        <w:rPr>
          <w:spacing w:val="-52"/>
        </w:rPr>
        <w:t xml:space="preserve"> </w:t>
      </w:r>
      <w:r>
        <w:rPr/>
        <w:t>5</w:t>
      </w:r>
      <w:r>
        <w:rPr/>
        <w:t xml:space="preserve"> </w:t>
      </w:r>
      <w:r>
        <w:rPr>
          <w:spacing w:val="1"/>
        </w:rPr>
        <w:t>容易造成误解，不好理解掌握。</w:t>
      </w:r>
      <w:r>
        <w:rPr>
          <w:spacing w:val="-78"/>
        </w:rPr>
        <w:t xml:space="preserve"> </w:t>
      </w:r>
      <w:r>
        <w:rPr>
          <w:spacing w:val="1"/>
        </w:rPr>
        <w:t>因此，我局对</w:t>
      </w:r>
      <w:r>
        <w:rPr/>
        <w:t>《办法》附表</w:t>
      </w:r>
      <w:r>
        <w:rPr>
          <w:spacing w:val="-52"/>
        </w:rPr>
        <w:t xml:space="preserve"> </w:t>
      </w:r>
      <w:r>
        <w:rPr/>
        <w:t>5</w:t>
      </w:r>
      <w:r>
        <w:rPr>
          <w:spacing w:val="-50"/>
        </w:rPr>
        <w:t xml:space="preserve"> </w:t>
      </w:r>
      <w:r>
        <w:rPr/>
        <w:t>重</w:t>
      </w:r>
      <w:r>
        <w:rPr/>
        <w:t xml:space="preserve"> </w:t>
      </w:r>
      <w:r>
        <w:rPr>
          <w:spacing w:val="4"/>
        </w:rPr>
        <w:t>新进行了修订，请按修订后的执行。</w:t>
      </w:r>
    </w:p>
    <w:p>
      <w:pPr>
        <w:pStyle w:val="BodyText"/>
        <w:ind w:left="111" w:right="104" w:firstLine="645"/>
        <w:spacing w:before="51" w:line="324" w:lineRule="auto"/>
        <w:jc w:val="both"/>
        <w:rPr/>
      </w:pPr>
      <w:r>
        <w:rPr>
          <w:rFonts w:ascii="KaiTi" w:hAnsi="KaiTi" w:eastAsia="KaiTi" w:cs="KaiTi"/>
          <w:spacing w:val="5"/>
        </w:rPr>
        <w:t>（三）下调或上调风险等级说明。</w:t>
      </w:r>
      <w:r>
        <w:rPr>
          <w:spacing w:val="5"/>
        </w:rPr>
        <w:t>有两项（含）以上调低风</w:t>
      </w:r>
      <w:r>
        <w:rPr>
          <w:spacing w:val="5"/>
        </w:rPr>
        <w:t xml:space="preserve"> </w:t>
      </w:r>
      <w:r>
        <w:rPr>
          <w:spacing w:val="1"/>
        </w:rPr>
        <w:t>险等级情形的，只可调低一个风险等级（不可连续下调</w:t>
      </w:r>
      <w:r>
        <w:rPr>
          <w:spacing w:val="-87"/>
        </w:rPr>
        <w:t>）；</w:t>
      </w:r>
      <w:r>
        <w:rPr>
          <w:spacing w:val="1"/>
        </w:rPr>
        <w:t>有两项</w:t>
      </w:r>
      <w:r>
        <w:rPr/>
        <w:t xml:space="preserve"> </w:t>
      </w:r>
      <w:r>
        <w:rPr>
          <w:spacing w:val="5"/>
        </w:rPr>
        <w:t>（含）以上调高风险等级情形的，可调高两个风险等级。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789"/>
        <w:spacing w:before="101" w:line="222" w:lineRule="auto"/>
        <w:rPr/>
      </w:pPr>
      <w:r>
        <w:rPr>
          <w:spacing w:val="2"/>
        </w:rPr>
        <w:t>附件：附表</w:t>
      </w:r>
      <w:r>
        <w:rPr>
          <w:spacing w:val="-44"/>
        </w:rPr>
        <w:t xml:space="preserve"> </w:t>
      </w:r>
      <w:r>
        <w:rPr>
          <w:spacing w:val="2"/>
        </w:rPr>
        <w:t>5</w:t>
      </w:r>
      <w:r>
        <w:rPr>
          <w:spacing w:val="-67"/>
        </w:rPr>
        <w:t xml:space="preserve"> </w:t>
      </w:r>
      <w:r>
        <w:rPr>
          <w:spacing w:val="2"/>
        </w:rPr>
        <w:t>餐饮服务提供者风险等级确定表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5205" w:right="579" w:hanging="776"/>
        <w:spacing w:before="101" w:line="318" w:lineRule="auto"/>
        <w:rPr/>
      </w:pPr>
      <w:r>
        <w:rPr>
          <w:spacing w:val="1"/>
        </w:rPr>
        <w:t>内蒙古自治区市场监督管理局</w:t>
      </w:r>
      <w:r>
        <w:rPr>
          <w:spacing w:val="7"/>
        </w:rPr>
        <w:t xml:space="preserve"> </w:t>
      </w:r>
      <w:r>
        <w:rPr>
          <w:spacing w:val="-8"/>
        </w:rPr>
        <w:t>2021</w:t>
      </w:r>
      <w:r>
        <w:rPr>
          <w:spacing w:val="-63"/>
        </w:rPr>
        <w:t xml:space="preserve"> </w:t>
      </w:r>
      <w:r>
        <w:rPr>
          <w:spacing w:val="-8"/>
        </w:rPr>
        <w:t>年</w:t>
      </w:r>
      <w:r>
        <w:rPr>
          <w:spacing w:val="-46"/>
        </w:rPr>
        <w:t xml:space="preserve"> </w:t>
      </w:r>
      <w:r>
        <w:rPr>
          <w:spacing w:val="-8"/>
        </w:rPr>
        <w:t>1</w:t>
      </w:r>
      <w:r>
        <w:rPr>
          <w:spacing w:val="-48"/>
        </w:rPr>
        <w:t xml:space="preserve"> </w:t>
      </w:r>
      <w:r>
        <w:rPr>
          <w:spacing w:val="-8"/>
        </w:rPr>
        <w:t>月</w:t>
      </w:r>
      <w:r>
        <w:rPr>
          <w:spacing w:val="-55"/>
        </w:rPr>
        <w:t xml:space="preserve"> </w:t>
      </w:r>
      <w:r>
        <w:rPr>
          <w:spacing w:val="-8"/>
        </w:rPr>
        <w:t>26</w:t>
      </w:r>
      <w:r>
        <w:rPr>
          <w:spacing w:val="-8"/>
        </w:rPr>
        <w:t xml:space="preserve"> </w:t>
      </w:r>
      <w:r>
        <w:rPr>
          <w:spacing w:val="-8"/>
        </w:rPr>
        <w:t>日</w:t>
      </w:r>
    </w:p>
    <w:p>
      <w:pPr>
        <w:pStyle w:val="BodyText"/>
        <w:ind w:left="745"/>
        <w:spacing w:before="50" w:line="220" w:lineRule="auto"/>
        <w:rPr/>
      </w:pPr>
      <w:r>
        <w:rPr>
          <w:spacing w:val="5"/>
        </w:rPr>
        <w:t>（此件依申请公开）</w:t>
      </w:r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tbl>
      <w:tblPr>
        <w:tblStyle w:val="TableNormal"/>
        <w:tblW w:w="906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5366"/>
        <w:gridCol w:w="3694"/>
      </w:tblGrid>
      <w:tr>
        <w:trPr>
          <w:trHeight w:val="588" w:hRule="atLeast"/>
        </w:trPr>
        <w:tc>
          <w:tcPr>
            <w:tcW w:w="5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55" w:line="21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内蒙古自治区市场监督管理局办公室</w:t>
            </w:r>
          </w:p>
        </w:tc>
        <w:tc>
          <w:tcPr>
            <w:tcW w:w="36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3"/>
              <w:spacing w:before="155" w:line="217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2021</w:t>
            </w:r>
            <w:r>
              <w:rPr>
                <w:rFonts w:ascii="FangSong" w:hAnsi="FangSong" w:eastAsia="FangSong" w:cs="FangSong"/>
                <w:sz w:val="28"/>
                <w:szCs w:val="28"/>
                <w:spacing w:val="-5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年</w:t>
            </w:r>
            <w:r>
              <w:rPr>
                <w:rFonts w:ascii="FangSong" w:hAnsi="FangSong" w:eastAsia="FangSong" w:cs="FangSong"/>
                <w:sz w:val="28"/>
                <w:szCs w:val="28"/>
                <w:spacing w:val="-4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</w:t>
            </w:r>
            <w:r>
              <w:rPr>
                <w:rFonts w:ascii="FangSong" w:hAnsi="FangSong" w:eastAsia="FangSong" w:cs="FangSong"/>
                <w:sz w:val="28"/>
                <w:szCs w:val="28"/>
                <w:spacing w:val="-4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月</w:t>
            </w:r>
            <w:r>
              <w:rPr>
                <w:rFonts w:ascii="FangSong" w:hAnsi="FangSong" w:eastAsia="FangSong" w:cs="FangSong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27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日印发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6" w:h="16839"/>
          <w:pgMar w:top="1246" w:right="1366" w:bottom="1160" w:left="1479" w:header="0" w:footer="849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398"/>
        <w:spacing w:before="65" w:line="228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</w:rPr>
        <w:t>附表</w:t>
      </w:r>
      <w:r>
        <w:rPr>
          <w:rFonts w:ascii="SimHei" w:hAnsi="SimHei" w:eastAsia="SimHei" w:cs="SimHei"/>
          <w:sz w:val="31"/>
          <w:szCs w:val="31"/>
          <w:spacing w:val="-76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5"/>
        </w:rPr>
        <w:t>5</w:t>
      </w:r>
    </w:p>
    <w:p>
      <w:pPr>
        <w:ind w:left="2585"/>
        <w:spacing w:before="161" w:line="438" w:lineRule="exact"/>
        <w:outlineLvl w:val="1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"/>
          <w:position w:val="2"/>
        </w:rPr>
        <w:t>餐饮服务提供者风险等级确定表</w:t>
      </w:r>
    </w:p>
    <w:p>
      <w:pPr>
        <w:ind w:left="2557"/>
        <w:spacing w:before="179" w:line="22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KaiTi" w:hAnsi="KaiTi" w:eastAsia="KaiTi" w:cs="KaiTi"/>
          <w:sz w:val="28"/>
          <w:szCs w:val="28"/>
          <w:spacing w:val="-8"/>
        </w:rPr>
        <w:t>（</w:t>
      </w:r>
      <w:r>
        <w:rPr>
          <w:rFonts w:ascii="KaiTi" w:hAnsi="KaiTi" w:eastAsia="KaiTi" w:cs="KaiTi"/>
          <w:sz w:val="28"/>
          <w:szCs w:val="28"/>
          <w:spacing w:val="4"/>
        </w:rPr>
        <w:t xml:space="preserve">        </w:t>
      </w:r>
      <w:r>
        <w:rPr>
          <w:rFonts w:ascii="KaiTi" w:hAnsi="KaiTi" w:eastAsia="KaiTi" w:cs="KaiTi"/>
          <w:sz w:val="28"/>
          <w:szCs w:val="28"/>
          <w:spacing w:val="-8"/>
        </w:rPr>
        <w:t>年度</w:t>
      </w:r>
      <w:r>
        <w:rPr>
          <w:rFonts w:ascii="KaiTi" w:hAnsi="KaiTi" w:eastAsia="KaiTi" w:cs="KaiTi"/>
          <w:sz w:val="28"/>
          <w:szCs w:val="28"/>
          <w:spacing w:val="-40"/>
        </w:rPr>
        <w:t>）</w:t>
      </w:r>
      <w:r>
        <w:rPr>
          <w:rFonts w:ascii="KaiTi" w:hAnsi="KaiTi" w:eastAsia="KaiTi" w:cs="KaiTi"/>
          <w:sz w:val="28"/>
          <w:szCs w:val="28"/>
          <w:spacing w:val="16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spacing w:val="-40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spacing w:val="-8"/>
        </w:rPr>
        <w:t>编号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 xml:space="preserve">               </w:t>
      </w:r>
      <w:r>
        <w:rPr>
          <w:rFonts w:ascii="Microsoft YaHei" w:hAnsi="Microsoft YaHei" w:eastAsia="Microsoft YaHei" w:cs="Microsoft YaHei"/>
          <w:sz w:val="24"/>
          <w:szCs w:val="24"/>
          <w:spacing w:val="-8"/>
        </w:rPr>
        <w:t>）</w:t>
      </w:r>
    </w:p>
    <w:p>
      <w:pPr>
        <w:spacing w:line="63" w:lineRule="exact"/>
        <w:rPr/>
      </w:pPr>
      <w:r/>
    </w:p>
    <w:tbl>
      <w:tblPr>
        <w:tblStyle w:val="TableNormal"/>
        <w:tblW w:w="957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78"/>
        <w:gridCol w:w="3239"/>
        <w:gridCol w:w="270"/>
        <w:gridCol w:w="4789"/>
      </w:tblGrid>
      <w:tr>
        <w:trPr>
          <w:trHeight w:val="449" w:hRule="atLeast"/>
        </w:trPr>
        <w:tc>
          <w:tcPr>
            <w:tcW w:w="1278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3"/>
              <w:spacing w:before="65" w:line="225" w:lineRule="auto"/>
              <w:rPr/>
            </w:pPr>
            <w:r>
              <w:rPr>
                <w:spacing w:val="3"/>
              </w:rPr>
              <w:t>企业信息</w:t>
            </w:r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09"/>
              <w:spacing w:before="179" w:line="224" w:lineRule="auto"/>
              <w:rPr/>
            </w:pPr>
            <w:r>
              <w:rPr>
                <w:spacing w:val="5"/>
              </w:rPr>
              <w:t>餐饮服务提供者名称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4" w:hRule="atLeast"/>
        </w:trPr>
        <w:tc>
          <w:tcPr>
            <w:tcW w:w="12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09"/>
              <w:spacing w:before="173" w:line="235" w:lineRule="auto"/>
              <w:rPr/>
            </w:pPr>
            <w:r>
              <w:rPr>
                <w:spacing w:val="4"/>
              </w:rPr>
              <w:t>地址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4" w:hRule="atLeast"/>
        </w:trPr>
        <w:tc>
          <w:tcPr>
            <w:tcW w:w="12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24"/>
              <w:spacing w:before="175" w:line="225" w:lineRule="auto"/>
              <w:rPr/>
            </w:pPr>
            <w:r>
              <w:rPr>
                <w:spacing w:val="4"/>
              </w:rPr>
              <w:t>营业执照编号或信用代码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4" w:hRule="atLeast"/>
        </w:trPr>
        <w:tc>
          <w:tcPr>
            <w:tcW w:w="12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10"/>
              <w:spacing w:before="176" w:line="226" w:lineRule="auto"/>
              <w:rPr/>
            </w:pPr>
            <w:r>
              <w:rPr>
                <w:spacing w:val="5"/>
              </w:rPr>
              <w:t>联系人及联系方式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4" w:hRule="atLeast"/>
        </w:trPr>
        <w:tc>
          <w:tcPr>
            <w:tcW w:w="12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15"/>
              <w:spacing w:before="178" w:line="225" w:lineRule="auto"/>
              <w:rPr/>
            </w:pPr>
            <w:r>
              <w:rPr>
                <w:spacing w:val="4"/>
              </w:rPr>
              <w:t>上年度风险等级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5" w:hRule="atLeast"/>
        </w:trPr>
        <w:tc>
          <w:tcPr>
            <w:tcW w:w="1278" w:type="dxa"/>
            <w:vAlign w:val="top"/>
          </w:tcPr>
          <w:p>
            <w:pPr>
              <w:pStyle w:val="TableText"/>
              <w:ind w:left="237"/>
              <w:spacing w:before="178" w:line="226" w:lineRule="auto"/>
              <w:rPr/>
            </w:pPr>
            <w:r>
              <w:rPr>
                <w:spacing w:val="3"/>
              </w:rPr>
              <w:t>静态风险</w:t>
            </w:r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15"/>
              <w:spacing w:before="178" w:line="225" w:lineRule="auto"/>
              <w:rPr/>
            </w:pPr>
            <w:r>
              <w:rPr>
                <w:spacing w:val="4"/>
              </w:rPr>
              <w:t>静态风险因素量化风险分值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5" w:hRule="atLeast"/>
        </w:trPr>
        <w:tc>
          <w:tcPr>
            <w:tcW w:w="1278" w:type="dxa"/>
            <w:vAlign w:val="top"/>
          </w:tcPr>
          <w:p>
            <w:pPr>
              <w:pStyle w:val="TableText"/>
              <w:ind w:left="243"/>
              <w:spacing w:before="178" w:line="227" w:lineRule="auto"/>
              <w:rPr/>
            </w:pPr>
            <w:r>
              <w:rPr>
                <w:spacing w:val="1"/>
              </w:rPr>
              <w:t>动态风险</w:t>
            </w:r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22"/>
              <w:spacing w:before="179" w:line="225" w:lineRule="auto"/>
              <w:rPr/>
            </w:pPr>
            <w:r>
              <w:rPr>
                <w:spacing w:val="4"/>
              </w:rPr>
              <w:t>动态风险因素量化风险分值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4" w:hRule="atLeast"/>
        </w:trPr>
        <w:tc>
          <w:tcPr>
            <w:tcW w:w="1278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65" w:line="225" w:lineRule="auto"/>
              <w:rPr/>
            </w:pPr>
            <w:r>
              <w:rPr>
                <w:spacing w:val="5"/>
              </w:rPr>
              <w:t>餐饮服务提</w:t>
            </w:r>
          </w:p>
          <w:p>
            <w:pPr>
              <w:pStyle w:val="TableText"/>
              <w:ind w:left="434"/>
              <w:spacing w:before="195" w:line="226" w:lineRule="auto"/>
              <w:rPr/>
            </w:pPr>
            <w:r>
              <w:rPr>
                <w:spacing w:val="5"/>
              </w:rPr>
              <w:t>供者</w:t>
            </w:r>
          </w:p>
          <w:p>
            <w:pPr>
              <w:pStyle w:val="TableText"/>
              <w:ind w:left="232"/>
              <w:spacing w:before="196" w:line="227" w:lineRule="auto"/>
              <w:rPr/>
            </w:pPr>
            <w:r>
              <w:rPr>
                <w:spacing w:val="4"/>
              </w:rPr>
              <w:t>风险等级</w:t>
            </w:r>
          </w:p>
        </w:tc>
        <w:tc>
          <w:tcPr>
            <w:tcW w:w="323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65" w:line="225" w:lineRule="auto"/>
              <w:rPr/>
            </w:pPr>
            <w:r>
              <w:rPr>
                <w:spacing w:val="4"/>
              </w:rPr>
              <w:t>风险等级得分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pStyle w:val="TableText"/>
              <w:ind w:left="138"/>
              <w:spacing w:before="177" w:line="226" w:lineRule="auto"/>
              <w:rPr/>
            </w:pPr>
            <w:r>
              <w:rPr>
                <w:spacing w:val="5"/>
              </w:rPr>
              <w:t>□（静态风险＋动态风险</w:t>
            </w:r>
            <w:r>
              <w:rPr>
                <w:spacing w:val="-3"/>
              </w:rPr>
              <w:t>）</w:t>
            </w:r>
            <w:r>
              <w:rPr>
                <w:rFonts w:ascii="SimSun" w:hAnsi="SimSun" w:eastAsia="SimSun" w:cs="SimSun"/>
                <w:spacing w:val="-3"/>
              </w:rPr>
              <w:t>－</w:t>
            </w:r>
            <w:r>
              <w:rPr>
                <w:spacing w:val="5"/>
              </w:rPr>
              <w:t>核减分值（初评除外）=</w:t>
            </w:r>
          </w:p>
          <w:p>
            <w:pPr>
              <w:pStyle w:val="TableText"/>
              <w:ind w:left="138"/>
              <w:spacing w:before="194" w:line="226" w:lineRule="auto"/>
              <w:rPr/>
            </w:pPr>
            <w:r>
              <w:rPr>
                <w:spacing w:val="4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风险因素量化分值</w:t>
            </w:r>
            <w:r>
              <w:rPr>
                <w:rFonts w:ascii="SimSun" w:hAnsi="SimSun" w:eastAsia="SimSun" w:cs="SimSun"/>
                <w:spacing w:val="4"/>
              </w:rPr>
              <w:t>－</w:t>
            </w:r>
            <w:r>
              <w:rPr>
                <w:spacing w:val="4"/>
              </w:rPr>
              <w:t>核减分值（初评除外）=</w:t>
            </w:r>
          </w:p>
        </w:tc>
      </w:tr>
      <w:tr>
        <w:trPr>
          <w:trHeight w:val="445" w:hRule="atLeast"/>
        </w:trPr>
        <w:tc>
          <w:tcPr>
            <w:tcW w:w="12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39" w:type="dxa"/>
            <w:vAlign w:val="top"/>
          </w:tcPr>
          <w:p>
            <w:pPr>
              <w:pStyle w:val="TableText"/>
              <w:ind w:left="111"/>
              <w:spacing w:before="179" w:line="227" w:lineRule="auto"/>
              <w:rPr/>
            </w:pPr>
            <w:r>
              <w:rPr>
                <w:spacing w:val="4"/>
              </w:rPr>
              <w:t>风险等级</w:t>
            </w:r>
          </w:p>
        </w:tc>
        <w:tc>
          <w:tcPr>
            <w:tcW w:w="5059" w:type="dxa"/>
            <w:vAlign w:val="top"/>
            <w:gridSpan w:val="2"/>
          </w:tcPr>
          <w:p>
            <w:pPr>
              <w:pStyle w:val="TableText"/>
              <w:ind w:left="880"/>
              <w:spacing w:before="179" w:line="227" w:lineRule="auto"/>
              <w:rPr/>
            </w:pPr>
            <w:r>
              <w:rPr>
                <w:spacing w:val="-8"/>
              </w:rPr>
              <w:t>□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A</w:t>
            </w:r>
            <w:r>
              <w:rPr>
                <w:rFonts w:ascii="Times New Roman" w:hAnsi="Times New Roman" w:eastAsia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8"/>
              </w:rPr>
              <w:t>级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□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B</w:t>
            </w:r>
            <w:r>
              <w:rPr>
                <w:rFonts w:ascii="Times New Roman" w:hAnsi="Times New Roman" w:eastAsia="Times New Roman" w:cs="Times New Roman"/>
                <w:spacing w:val="20"/>
              </w:rPr>
              <w:t xml:space="preserve"> </w:t>
            </w:r>
            <w:r>
              <w:rPr>
                <w:spacing w:val="-8"/>
              </w:rPr>
              <w:t>级</w:t>
            </w:r>
            <w:r>
              <w:rPr>
                <w:spacing w:val="31"/>
              </w:rPr>
              <w:t xml:space="preserve"> </w:t>
            </w:r>
            <w:r>
              <w:rPr>
                <w:spacing w:val="-8"/>
              </w:rPr>
              <w:t>□</w:t>
            </w:r>
            <w:r>
              <w:rPr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C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8"/>
              </w:rPr>
              <w:t>级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□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D</w:t>
            </w:r>
            <w:r>
              <w:rPr>
                <w:rFonts w:ascii="Times New Roman" w:hAnsi="Times New Roman" w:eastAsia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8"/>
              </w:rPr>
              <w:t>级</w:t>
            </w:r>
          </w:p>
        </w:tc>
      </w:tr>
      <w:tr>
        <w:trPr>
          <w:trHeight w:val="6385" w:hRule="atLeast"/>
        </w:trPr>
        <w:tc>
          <w:tcPr>
            <w:tcW w:w="12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98" w:type="dxa"/>
            <w:vAlign w:val="top"/>
            <w:gridSpan w:val="3"/>
          </w:tcPr>
          <w:p>
            <w:pPr>
              <w:pStyle w:val="TableText"/>
              <w:ind w:left="107"/>
              <w:spacing w:before="98" w:line="223" w:lineRule="auto"/>
              <w:rPr/>
            </w:pPr>
            <w:r>
              <w:rPr>
                <w:b/>
                <w:bCs/>
                <w:spacing w:val="-1"/>
              </w:rPr>
              <w:t>是否存在下列核减分值的情况（在存在的情</w:t>
            </w:r>
            <w:r>
              <w:rPr>
                <w:b/>
                <w:bCs/>
                <w:spacing w:val="-2"/>
              </w:rPr>
              <w:t>况前打</w:t>
            </w:r>
            <w:r>
              <w:rPr>
                <w:spacing w:val="-66"/>
              </w:rPr>
              <w:t xml:space="preserve"> </w:t>
            </w:r>
            <w:r>
              <w:rPr>
                <w:b/>
                <w:bCs/>
                <w:spacing w:val="-2"/>
              </w:rPr>
              <w:t>“</w:t>
            </w:r>
            <w:r>
              <w:rPr>
                <w:spacing w:val="-74"/>
              </w:rPr>
              <w:t xml:space="preserve"> </w:t>
            </w:r>
            <w:r>
              <w:rPr>
                <w:b/>
                <w:bCs/>
                <w:spacing w:val="-2"/>
              </w:rPr>
              <w:t>√”):</w:t>
            </w:r>
          </w:p>
          <w:p>
            <w:pPr>
              <w:pStyle w:val="TableText"/>
              <w:ind w:left="548"/>
              <w:spacing w:before="99" w:line="224" w:lineRule="auto"/>
              <w:rPr/>
            </w:pPr>
            <w:r>
              <w:rPr>
                <w:spacing w:val="4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4"/>
              </w:rPr>
              <w:t>该</w:t>
            </w:r>
            <w:r>
              <w:rPr>
                <w:spacing w:val="4"/>
              </w:rPr>
              <w:t>餐饮服务提供者取得餐饮食品安全示范店称号。可核减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</w:rPr>
              <w:t>5 </w:t>
            </w:r>
            <w:r>
              <w:rPr>
                <w:spacing w:val="4"/>
              </w:rPr>
              <w:t>分分值</w:t>
            </w:r>
          </w:p>
          <w:p>
            <w:pPr>
              <w:pStyle w:val="TableText"/>
              <w:ind w:left="107" w:right="1904" w:firstLine="440"/>
              <w:spacing w:before="94" w:line="269" w:lineRule="auto"/>
              <w:rPr/>
            </w:pPr>
            <w:r>
              <w:rPr/>
              <w:t>□</w:t>
            </w:r>
            <w:r>
              <w:rPr/>
              <w:t xml:space="preserve"> </w:t>
            </w:r>
            <w:r>
              <w:rPr>
                <w:b/>
                <w:bCs/>
              </w:rPr>
              <w:t>该</w:t>
            </w:r>
            <w:r>
              <w:rPr/>
              <w:t>餐饮服务提供者实现“互联网+明厨亮灶</w:t>
            </w:r>
            <w:r>
              <w:rPr>
                <w:spacing w:val="-71"/>
              </w:rPr>
              <w:t xml:space="preserve"> </w:t>
            </w:r>
            <w:r>
              <w:rPr/>
              <w:t>”。可核减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5 </w:t>
            </w:r>
            <w:r>
              <w:rPr/>
              <w:t>分分值</w:t>
            </w:r>
            <w:r>
              <w:rPr/>
              <w:t xml:space="preserve"> </w:t>
            </w:r>
            <w:r>
              <w:rPr>
                <w:b/>
                <w:bCs/>
                <w:spacing w:val="-1"/>
              </w:rPr>
              <w:t>是否存在下列调低风险等级的情况（在存在的情况前打</w:t>
            </w:r>
            <w:r>
              <w:rPr>
                <w:spacing w:val="-63"/>
              </w:rPr>
              <w:t xml:space="preserve"> </w:t>
            </w:r>
            <w:r>
              <w:rPr>
                <w:b/>
                <w:bCs/>
                <w:spacing w:val="-1"/>
              </w:rPr>
              <w:t>“</w:t>
            </w:r>
            <w:r>
              <w:rPr>
                <w:spacing w:val="-75"/>
              </w:rPr>
              <w:t xml:space="preserve"> </w:t>
            </w:r>
            <w:r>
              <w:rPr>
                <w:b/>
                <w:bCs/>
                <w:spacing w:val="-1"/>
              </w:rPr>
              <w:t>√”):</w:t>
            </w:r>
          </w:p>
          <w:p>
            <w:pPr>
              <w:pStyle w:val="TableText"/>
              <w:ind w:left="545"/>
              <w:spacing w:before="98" w:line="231" w:lineRule="auto"/>
              <w:rPr/>
            </w:pPr>
            <w:r>
              <w:rPr>
                <w:spacing w:val="4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连续</w:t>
            </w:r>
            <w:r>
              <w:rPr>
                <w:spacing w:val="-41"/>
              </w:rPr>
              <w:t xml:space="preserve"> </w:t>
            </w:r>
            <w:r>
              <w:rPr>
                <w:spacing w:val="4"/>
              </w:rPr>
              <w:t>3</w:t>
            </w:r>
            <w:r>
              <w:rPr>
                <w:spacing w:val="-30"/>
              </w:rPr>
              <w:t xml:space="preserve"> </w:t>
            </w:r>
            <w:r>
              <w:rPr>
                <w:spacing w:val="4"/>
              </w:rPr>
              <w:t>年食品安全监督管理记录没有违反可调高风险</w:t>
            </w:r>
            <w:r>
              <w:rPr>
                <w:spacing w:val="3"/>
              </w:rPr>
              <w:t>等级所列情形。</w:t>
            </w:r>
          </w:p>
          <w:p>
            <w:pPr>
              <w:pStyle w:val="TableText"/>
              <w:ind w:left="545"/>
              <w:spacing w:before="89" w:line="230" w:lineRule="auto"/>
              <w:rPr/>
            </w:pPr>
            <w:r>
              <w:rPr>
                <w:spacing w:val="4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获得危害分析与关键控制点等食品安全管理体系认证的。</w:t>
            </w:r>
          </w:p>
          <w:p>
            <w:pPr>
              <w:pStyle w:val="TableText"/>
              <w:ind w:left="545"/>
              <w:spacing w:before="91" w:line="230" w:lineRule="auto"/>
              <w:rPr/>
            </w:pPr>
            <w:r>
              <w:rPr>
                <w:spacing w:val="5"/>
              </w:rPr>
              <w:t>□具有法律、法规、规章和自治区市场监管局规定的其他可以下调风险等</w:t>
            </w:r>
            <w:r>
              <w:rPr>
                <w:spacing w:val="4"/>
              </w:rPr>
              <w:t>级的情形。</w:t>
            </w:r>
          </w:p>
          <w:p>
            <w:pPr>
              <w:pStyle w:val="TableText"/>
              <w:ind w:left="107"/>
              <w:spacing w:before="92" w:line="223" w:lineRule="auto"/>
              <w:rPr/>
            </w:pPr>
            <w:r>
              <w:rPr>
                <w:b/>
                <w:bCs/>
                <w:spacing w:val="-1"/>
              </w:rPr>
              <w:t>是否存在下列调高风险等级的情况（在存在的情况前打</w:t>
            </w:r>
            <w:r>
              <w:rPr>
                <w:spacing w:val="-63"/>
              </w:rPr>
              <w:t xml:space="preserve"> </w:t>
            </w:r>
            <w:r>
              <w:rPr>
                <w:b/>
                <w:bCs/>
                <w:spacing w:val="-1"/>
              </w:rPr>
              <w:t>“</w:t>
            </w:r>
            <w:r>
              <w:rPr>
                <w:spacing w:val="-75"/>
              </w:rPr>
              <w:t xml:space="preserve"> </w:t>
            </w:r>
            <w:r>
              <w:rPr>
                <w:b/>
                <w:bCs/>
                <w:spacing w:val="-1"/>
              </w:rPr>
              <w:t>√”):</w:t>
            </w:r>
          </w:p>
          <w:p>
            <w:pPr>
              <w:pStyle w:val="TableText"/>
              <w:ind w:left="118" w:right="157" w:firstLine="426"/>
              <w:spacing w:before="96" w:line="272" w:lineRule="auto"/>
              <w:rPr/>
            </w:pPr>
            <w:r>
              <w:rPr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故意违反食品安全法律法规，且受到罚款、没收违法所得（非法财物）、责令停产</w:t>
            </w:r>
            <w:r>
              <w:rPr>
                <w:spacing w:val="13"/>
              </w:rPr>
              <w:t xml:space="preserve"> </w:t>
            </w:r>
            <w:r>
              <w:rPr>
                <w:spacing w:val="3"/>
              </w:rPr>
              <w:t>停业等行政处罚；</w:t>
            </w:r>
          </w:p>
          <w:p>
            <w:pPr>
              <w:pStyle w:val="TableText"/>
              <w:ind w:left="545"/>
              <w:spacing w:before="92" w:line="229" w:lineRule="auto"/>
              <w:rPr/>
            </w:pPr>
            <w:r>
              <w:rPr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有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次及以上监督抽检不符合食品安全标准的。</w:t>
            </w:r>
          </w:p>
          <w:p>
            <w:pPr>
              <w:pStyle w:val="TableText"/>
              <w:ind w:left="545"/>
              <w:spacing w:before="91" w:line="232" w:lineRule="auto"/>
              <w:rPr/>
            </w:pPr>
            <w:r>
              <w:rPr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发生食品安全事故的。</w:t>
            </w:r>
          </w:p>
          <w:p>
            <w:pPr>
              <w:pStyle w:val="TableText"/>
              <w:ind w:left="545"/>
              <w:spacing w:before="89" w:line="232" w:lineRule="auto"/>
              <w:rPr/>
            </w:pPr>
            <w:r>
              <w:rPr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不按规定停止经营的。</w:t>
            </w:r>
          </w:p>
          <w:p>
            <w:pPr>
              <w:pStyle w:val="TableText"/>
              <w:ind w:left="118" w:right="104" w:firstLine="426"/>
              <w:spacing w:before="89" w:line="272" w:lineRule="auto"/>
              <w:rPr/>
            </w:pPr>
            <w:r>
              <w:rPr>
                <w:spacing w:val="4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拒绝、逃避、阻挠执法人员进行监督检查，或者拒不配合执</w:t>
            </w:r>
            <w:r>
              <w:rPr>
                <w:spacing w:val="3"/>
              </w:rPr>
              <w:t>法人员依法进行案件调</w:t>
            </w:r>
            <w:r>
              <w:rPr/>
              <w:t xml:space="preserve"> </w:t>
            </w:r>
            <w:r>
              <w:rPr>
                <w:spacing w:val="-1"/>
              </w:rPr>
              <w:t>查的；</w:t>
            </w:r>
          </w:p>
          <w:p>
            <w:pPr>
              <w:pStyle w:val="TableText"/>
              <w:ind w:left="121" w:right="104" w:firstLine="423"/>
              <w:spacing w:before="90" w:line="273" w:lineRule="auto"/>
              <w:rPr/>
            </w:pPr>
            <w:r>
              <w:rPr>
                <w:spacing w:val="4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具有法律、法规、规章和省级食品药品监督管理部门规定的</w:t>
            </w:r>
            <w:r>
              <w:rPr>
                <w:spacing w:val="3"/>
              </w:rPr>
              <w:t>其他可以上调风险等级</w:t>
            </w:r>
            <w:r>
              <w:rPr/>
              <w:t xml:space="preserve"> </w:t>
            </w:r>
            <w:r>
              <w:rPr/>
              <w:t>情形的。</w:t>
            </w:r>
          </w:p>
          <w:p>
            <w:pPr>
              <w:pStyle w:val="TableText"/>
              <w:ind w:left="533"/>
              <w:spacing w:before="88" w:line="231" w:lineRule="auto"/>
              <w:rPr/>
            </w:pPr>
            <w:r>
              <w:rPr>
                <w:spacing w:val="5"/>
              </w:rPr>
              <w:t>（下调或上调风险等级的情形可另附说明，说明具体情形）</w:t>
            </w:r>
          </w:p>
          <w:p>
            <w:pPr>
              <w:pStyle w:val="TableText"/>
              <w:ind w:left="109"/>
              <w:spacing w:before="61" w:line="173" w:lineRule="auto"/>
              <w:rPr/>
            </w:pPr>
            <w:r>
              <w:rPr>
                <w:spacing w:val="2"/>
              </w:rPr>
              <w:t>建议</w:t>
            </w:r>
            <w:r>
              <w:rPr>
                <w:spacing w:val="34"/>
              </w:rPr>
              <w:t xml:space="preserve"> </w:t>
            </w:r>
            <w:r>
              <w:rPr>
                <w:b/>
                <w:bCs/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"/>
              </w:rPr>
              <w:t>下调</w:t>
            </w:r>
            <w:r>
              <w:rPr>
                <w:spacing w:val="2"/>
              </w:rPr>
              <w:t xml:space="preserve">    </w:t>
            </w:r>
            <w:r>
              <w:rPr>
                <w:b/>
                <w:bCs/>
                <w:spacing w:val="2"/>
              </w:rPr>
              <w:t>个风险等级</w:t>
            </w:r>
            <w:r>
              <w:rPr>
                <w:spacing w:val="35"/>
              </w:rPr>
              <w:t xml:space="preserve"> </w:t>
            </w:r>
            <w:r>
              <w:rPr>
                <w:b/>
                <w:bCs/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"/>
              </w:rPr>
              <w:t>不调整风险</w:t>
            </w:r>
            <w:r>
              <w:rPr>
                <w:b/>
                <w:bCs/>
                <w:spacing w:val="1"/>
              </w:rPr>
              <w:t>等级□</w:t>
            </w:r>
            <w:r>
              <w:rPr>
                <w:spacing w:val="14"/>
              </w:rPr>
              <w:t xml:space="preserve"> </w:t>
            </w:r>
            <w:r>
              <w:rPr>
                <w:b/>
                <w:bCs/>
                <w:spacing w:val="1"/>
              </w:rPr>
              <w:t>上调</w:t>
            </w:r>
            <w:r>
              <w:rPr>
                <w:spacing w:val="5"/>
              </w:rPr>
              <w:t xml:space="preserve">    </w:t>
            </w:r>
            <w:r>
              <w:rPr>
                <w:b/>
                <w:bCs/>
                <w:spacing w:val="1"/>
              </w:rPr>
              <w:t>个风险等级</w:t>
            </w:r>
          </w:p>
        </w:tc>
      </w:tr>
      <w:tr>
        <w:trPr>
          <w:trHeight w:val="930" w:hRule="atLeast"/>
        </w:trPr>
        <w:tc>
          <w:tcPr>
            <w:tcW w:w="4787" w:type="dxa"/>
            <w:vAlign w:val="top"/>
            <w:gridSpan w:val="3"/>
          </w:tcPr>
          <w:p>
            <w:pPr>
              <w:pStyle w:val="TableText"/>
              <w:ind w:left="116"/>
              <w:spacing w:before="220" w:line="226" w:lineRule="auto"/>
              <w:rPr/>
            </w:pPr>
            <w:r>
              <w:rPr>
                <w:spacing w:val="4"/>
              </w:rPr>
              <w:t>填表人签名：</w:t>
            </w:r>
          </w:p>
          <w:p>
            <w:pPr>
              <w:pStyle w:val="TableText"/>
              <w:ind w:left="3659"/>
              <w:spacing w:before="194" w:line="225" w:lineRule="auto"/>
              <w:rPr/>
            </w:pPr>
            <w:r>
              <w:rPr>
                <w:spacing w:val="-4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24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  <w:tc>
          <w:tcPr>
            <w:tcW w:w="4789" w:type="dxa"/>
            <w:vAlign w:val="top"/>
          </w:tcPr>
          <w:p>
            <w:pPr>
              <w:pStyle w:val="TableText"/>
              <w:ind w:left="126"/>
              <w:spacing w:before="220" w:line="225" w:lineRule="auto"/>
              <w:rPr/>
            </w:pPr>
            <w:r>
              <w:rPr>
                <w:spacing w:val="1"/>
              </w:rPr>
              <w:t>审核人签名：</w:t>
            </w:r>
          </w:p>
          <w:p>
            <w:pPr>
              <w:pStyle w:val="TableText"/>
              <w:ind w:left="3658"/>
              <w:spacing w:before="195" w:line="225" w:lineRule="auto"/>
              <w:rPr/>
            </w:pPr>
            <w:r>
              <w:rPr>
                <w:spacing w:val="-4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25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6"/>
      <w:pgSz w:w="11906" w:h="16839"/>
      <w:pgMar w:top="1200" w:right="1106" w:bottom="1160" w:left="1218" w:header="0" w:footer="84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286"/>
      <w:spacing w:before="1" w:line="199" w:lineRule="auto"/>
      <w:rPr>
        <w:sz w:val="18"/>
        <w:szCs w:val="18"/>
      </w:rPr>
    </w:pPr>
    <w:r>
      <w:rPr>
        <w:sz w:val="18"/>
        <w:szCs w:val="18"/>
        <w:spacing w:val="-9"/>
        <w:w w:val="97"/>
      </w:rPr>
      <w:t>-</w:t>
    </w:r>
    <w:r>
      <w:rPr>
        <w:sz w:val="18"/>
        <w:szCs w:val="18"/>
        <w:spacing w:val="59"/>
      </w:rPr>
      <w:t xml:space="preserve"> </w:t>
    </w:r>
    <w:r>
      <w:rPr>
        <w:sz w:val="28"/>
        <w:szCs w:val="28"/>
        <w:spacing w:val="-54"/>
      </w:rPr>
      <w:t>1</w:t>
    </w:r>
    <w:r>
      <w:rPr>
        <w:sz w:val="28"/>
        <w:szCs w:val="28"/>
        <w:spacing w:val="6"/>
      </w:rPr>
      <w:t xml:space="preserve"> </w:t>
    </w:r>
    <w:r>
      <w:rPr>
        <w:sz w:val="18"/>
        <w:szCs w:val="18"/>
      </w:rPr>
      <w:t>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"/>
      <w:spacing w:before="1" w:line="199" w:lineRule="auto"/>
      <w:rPr>
        <w:sz w:val="18"/>
        <w:szCs w:val="18"/>
      </w:rPr>
    </w:pPr>
    <w:r>
      <w:rPr>
        <w:sz w:val="18"/>
        <w:szCs w:val="18"/>
        <w:spacing w:val="-9"/>
        <w:w w:val="97"/>
      </w:rPr>
      <w:t>-</w:t>
    </w:r>
    <w:r>
      <w:rPr>
        <w:sz w:val="18"/>
        <w:szCs w:val="18"/>
        <w:spacing w:val="42"/>
        <w:w w:val="101"/>
      </w:rPr>
      <w:t xml:space="preserve"> </w:t>
    </w:r>
    <w:r>
      <w:rPr>
        <w:sz w:val="28"/>
        <w:szCs w:val="28"/>
        <w:spacing w:val="-25"/>
        <w:w w:val="97"/>
      </w:rPr>
      <w:t>2</w:t>
    </w:r>
    <w:r>
      <w:rPr>
        <w:sz w:val="28"/>
        <w:szCs w:val="28"/>
        <w:spacing w:val="-2"/>
      </w:rPr>
      <w:t xml:space="preserve"> </w:t>
    </w:r>
    <w:r>
      <w:rPr>
        <w:sz w:val="18"/>
        <w:szCs w:val="18"/>
      </w:rPr>
      <w:t>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363"/>
      <w:spacing w:line="198" w:lineRule="auto"/>
      <w:rPr>
        <w:sz w:val="18"/>
        <w:szCs w:val="18"/>
      </w:rPr>
    </w:pPr>
    <w:r>
      <w:rPr>
        <w:sz w:val="18"/>
        <w:szCs w:val="18"/>
        <w:spacing w:val="-9"/>
        <w:w w:val="97"/>
      </w:rPr>
      <w:t>-</w:t>
    </w:r>
    <w:r>
      <w:rPr>
        <w:sz w:val="18"/>
        <w:szCs w:val="18"/>
        <w:spacing w:val="48"/>
      </w:rPr>
      <w:t xml:space="preserve"> </w:t>
    </w:r>
    <w:r>
      <w:rPr>
        <w:sz w:val="28"/>
        <w:szCs w:val="28"/>
        <w:spacing w:val="-27"/>
        <w:w w:val="90"/>
      </w:rPr>
      <w:t>3</w:t>
    </w:r>
    <w:r>
      <w:rPr>
        <w:sz w:val="28"/>
        <w:szCs w:val="28"/>
        <w:spacing w:val="4"/>
      </w:rPr>
      <w:t xml:space="preserve"> </w:t>
    </w:r>
    <w:r>
      <w:rPr>
        <w:sz w:val="18"/>
        <w:szCs w:val="18"/>
      </w:rPr>
      <w:t>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8"/>
      <w:spacing w:before="1" w:line="199" w:lineRule="auto"/>
      <w:rPr>
        <w:sz w:val="18"/>
        <w:szCs w:val="18"/>
      </w:rPr>
    </w:pPr>
    <w:r>
      <w:rPr>
        <w:sz w:val="18"/>
        <w:szCs w:val="18"/>
        <w:spacing w:val="-9"/>
        <w:w w:val="97"/>
      </w:rPr>
      <w:t>-</w:t>
    </w:r>
    <w:r>
      <w:rPr>
        <w:sz w:val="18"/>
        <w:szCs w:val="18"/>
        <w:spacing w:val="40"/>
      </w:rPr>
      <w:t xml:space="preserve"> </w:t>
    </w:r>
    <w:r>
      <w:rPr>
        <w:sz w:val="28"/>
        <w:szCs w:val="28"/>
        <w:spacing w:val="-15"/>
        <w:w w:val="92"/>
      </w:rPr>
      <w:t>4</w:t>
    </w:r>
    <w:r>
      <w:rPr>
        <w:sz w:val="28"/>
        <w:szCs w:val="28"/>
        <w:spacing w:val="-3"/>
      </w:rPr>
      <w:t xml:space="preserve"> </w:t>
    </w:r>
    <w:r>
      <w:rPr>
        <w:sz w:val="18"/>
        <w:szCs w:val="18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2024-08-29T10:41:04</vt:filetime>
  </property>
</Properties>
</file>